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465" w:rsidRDefault="00903465">
      <w:pPr>
        <w:pBdr>
          <w:top w:val="nil"/>
          <w:left w:val="nil"/>
          <w:bottom w:val="nil"/>
          <w:right w:val="nil"/>
          <w:between w:val="nil"/>
        </w:pBdr>
        <w:spacing w:line="276" w:lineRule="auto"/>
        <w:jc w:val="right"/>
        <w:rPr>
          <w:rFonts w:ascii="Arial" w:eastAsia="Arial" w:hAnsi="Arial" w:cs="Arial"/>
          <w:color w:val="000000"/>
          <w:sz w:val="22"/>
          <w:szCs w:val="22"/>
        </w:rPr>
      </w:pPr>
      <w:bookmarkStart w:id="0" w:name="_GoBack"/>
      <w:bookmarkEnd w:id="0"/>
    </w:p>
    <w:tbl>
      <w:tblPr>
        <w:tblStyle w:val="afb"/>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559"/>
        <w:gridCol w:w="5528"/>
        <w:gridCol w:w="6015"/>
      </w:tblGrid>
      <w:tr w:rsidR="00903465">
        <w:trPr>
          <w:trHeight w:val="410"/>
        </w:trPr>
        <w:tc>
          <w:tcPr>
            <w:tcW w:w="1394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903465" w:rsidRDefault="006765CC">
            <w:pPr>
              <w:widowControl/>
              <w:jc w:val="center"/>
              <w:rPr>
                <w:b/>
              </w:rPr>
            </w:pPr>
            <w:sdt>
              <w:sdtPr>
                <w:tag w:val="goog_rdk_0"/>
                <w:id w:val="29770659"/>
              </w:sdtPr>
              <w:sdtEndPr/>
              <w:sdtContent>
                <w:r w:rsidR="002A0530">
                  <w:rPr>
                    <w:rFonts w:ascii="Gungsuh" w:eastAsia="Gungsuh" w:hAnsi="Gungsuh" w:cs="Gungsuh"/>
                    <w:b/>
                  </w:rPr>
                  <w:t>國立臺灣大學</w:t>
                </w:r>
                <w:r w:rsidR="004B5D25">
                  <w:rPr>
                    <w:rFonts w:ascii="Gungsuh" w:eastAsia="Gungsuh" w:hAnsi="Gungsuh" w:cs="Gungsuh"/>
                    <w:b/>
                  </w:rPr>
                  <w:t>英文</w:t>
                </w:r>
                <w:r w:rsidR="002A0530">
                  <w:rPr>
                    <w:rFonts w:ascii="Gungsuh" w:eastAsia="Gungsuh" w:hAnsi="Gungsuh" w:cs="Gungsuh"/>
                    <w:b/>
                  </w:rPr>
                  <w:t>法規首條之格式及範例</w:t>
                </w:r>
              </w:sdtContent>
            </w:sdt>
          </w:p>
        </w:tc>
      </w:tr>
      <w:tr w:rsidR="00903465">
        <w:trPr>
          <w:trHeight w:val="983"/>
        </w:trPr>
        <w:tc>
          <w:tcPr>
            <w:tcW w:w="13948" w:type="dxa"/>
            <w:gridSpan w:val="4"/>
            <w:tcBorders>
              <w:top w:val="single" w:sz="4" w:space="0" w:color="000000"/>
              <w:left w:val="single" w:sz="4" w:space="0" w:color="000000"/>
              <w:bottom w:val="single" w:sz="4" w:space="0" w:color="000000"/>
              <w:right w:val="single" w:sz="4" w:space="0" w:color="000000"/>
            </w:tcBorders>
            <w:shd w:val="clear" w:color="auto" w:fill="D0CECE"/>
          </w:tcPr>
          <w:p w:rsidR="00903465" w:rsidRDefault="002A0530">
            <w:pPr>
              <w:widowControl/>
              <w:spacing w:line="400" w:lineRule="auto"/>
              <w:ind w:left="202" w:hanging="202"/>
              <w:jc w:val="both"/>
              <w:rPr>
                <w:rFonts w:ascii="微軟正黑體" w:eastAsia="微軟正黑體" w:hAnsi="微軟正黑體" w:cs="微軟正黑體"/>
              </w:rPr>
            </w:pPr>
            <w:r>
              <w:rPr>
                <w:rFonts w:ascii="微軟正黑體" w:eastAsia="微軟正黑體" w:hAnsi="微軟正黑體" w:cs="微軟正黑體"/>
              </w:rPr>
              <w:t>1.下列各類</w:t>
            </w:r>
            <w:proofErr w:type="gramStart"/>
            <w:r>
              <w:rPr>
                <w:rFonts w:ascii="微軟正黑體" w:eastAsia="微軟正黑體" w:hAnsi="微軟正黑體" w:cs="微軟正黑體"/>
              </w:rPr>
              <w:t>樣態係參考</w:t>
            </w:r>
            <w:proofErr w:type="gramEnd"/>
            <w:r>
              <w:rPr>
                <w:rFonts w:ascii="微軟正黑體" w:eastAsia="微軟正黑體" w:hAnsi="微軟正黑體" w:cs="微軟正黑體"/>
              </w:rPr>
              <w:t>本校</w:t>
            </w:r>
            <w:proofErr w:type="gramStart"/>
            <w:r>
              <w:rPr>
                <w:rFonts w:ascii="微軟正黑體" w:eastAsia="微軟正黑體" w:hAnsi="微軟正黑體" w:cs="微軟正黑體"/>
              </w:rPr>
              <w:t>校</w:t>
            </w:r>
            <w:proofErr w:type="gramEnd"/>
            <w:r>
              <w:rPr>
                <w:rFonts w:ascii="微軟正黑體" w:eastAsia="微軟正黑體" w:hAnsi="微軟正黑體" w:cs="微軟正黑體"/>
              </w:rPr>
              <w:t>級</w:t>
            </w:r>
            <w:proofErr w:type="gramStart"/>
            <w:r>
              <w:rPr>
                <w:rFonts w:ascii="微軟正黑體" w:eastAsia="微軟正黑體" w:hAnsi="微軟正黑體" w:cs="微軟正黑體"/>
              </w:rPr>
              <w:t>法規綜整</w:t>
            </w:r>
            <w:proofErr w:type="gramEnd"/>
            <w:r>
              <w:rPr>
                <w:rFonts w:ascii="微軟正黑體" w:eastAsia="微軟正黑體" w:hAnsi="微軟正黑體" w:cs="微軟正黑體"/>
              </w:rPr>
              <w:t>，並依法規訂定目的、法源依據及訂定主體</w:t>
            </w:r>
            <w:proofErr w:type="gramStart"/>
            <w:r>
              <w:rPr>
                <w:rFonts w:ascii="微軟正黑體" w:eastAsia="微軟正黑體" w:hAnsi="微軟正黑體" w:cs="微軟正黑體"/>
              </w:rPr>
              <w:t>三</w:t>
            </w:r>
            <w:proofErr w:type="gramEnd"/>
            <w:r>
              <w:rPr>
                <w:rFonts w:ascii="微軟正黑體" w:eastAsia="微軟正黑體" w:hAnsi="微軟正黑體" w:cs="微軟正黑體"/>
              </w:rPr>
              <w:t>關鍵概念之不同組合，撰擬格式及範例，例示供參。</w:t>
            </w:r>
          </w:p>
          <w:p w:rsidR="00903465" w:rsidRDefault="002A0530">
            <w:pPr>
              <w:widowControl/>
              <w:spacing w:line="400" w:lineRule="auto"/>
            </w:pPr>
            <w:r>
              <w:rPr>
                <w:rFonts w:ascii="微軟正黑體" w:eastAsia="微軟正黑體" w:hAnsi="微軟正黑體" w:cs="微軟正黑體"/>
              </w:rPr>
              <w:t>2.請依實際需求參考各式格式與範例外，所標註腳亦請事先瀏覽，以求用語正確。</w:t>
            </w:r>
          </w:p>
        </w:tc>
      </w:tr>
      <w:tr w:rsidR="00903465">
        <w:trPr>
          <w:trHeight w:val="475"/>
        </w:trPr>
        <w:tc>
          <w:tcPr>
            <w:tcW w:w="846" w:type="dxa"/>
            <w:shd w:val="clear" w:color="auto" w:fill="D0CECE"/>
          </w:tcPr>
          <w:p w:rsidR="00903465" w:rsidRDefault="002A0530">
            <w:pPr>
              <w:widowControl/>
              <w:jc w:val="center"/>
            </w:pPr>
            <w:r>
              <w:t>樣態</w:t>
            </w:r>
          </w:p>
        </w:tc>
        <w:tc>
          <w:tcPr>
            <w:tcW w:w="1559" w:type="dxa"/>
            <w:shd w:val="clear" w:color="auto" w:fill="D0CECE"/>
          </w:tcPr>
          <w:p w:rsidR="00903465" w:rsidRDefault="002A0530">
            <w:pPr>
              <w:widowControl/>
              <w:jc w:val="center"/>
            </w:pPr>
            <w:r>
              <w:t>句型結構</w:t>
            </w:r>
          </w:p>
        </w:tc>
        <w:tc>
          <w:tcPr>
            <w:tcW w:w="5528" w:type="dxa"/>
            <w:shd w:val="clear" w:color="auto" w:fill="D0CECE"/>
          </w:tcPr>
          <w:p w:rsidR="00903465" w:rsidRDefault="002A0530">
            <w:pPr>
              <w:widowControl/>
              <w:jc w:val="center"/>
            </w:pPr>
            <w:r>
              <w:t>首條格式</w:t>
            </w:r>
          </w:p>
        </w:tc>
        <w:tc>
          <w:tcPr>
            <w:tcW w:w="6015" w:type="dxa"/>
            <w:shd w:val="clear" w:color="auto" w:fill="D0CECE"/>
          </w:tcPr>
          <w:p w:rsidR="00903465" w:rsidRDefault="002A0530">
            <w:pPr>
              <w:widowControl/>
              <w:jc w:val="center"/>
            </w:pPr>
            <w:r>
              <w:t>首條範例</w:t>
            </w:r>
          </w:p>
        </w:tc>
      </w:tr>
      <w:tr w:rsidR="00903465">
        <w:trPr>
          <w:trHeight w:val="1440"/>
        </w:trPr>
        <w:tc>
          <w:tcPr>
            <w:tcW w:w="846" w:type="dxa"/>
            <w:vMerge w:val="restart"/>
          </w:tcPr>
          <w:p w:rsidR="00903465" w:rsidRDefault="002A0530">
            <w:pPr>
              <w:widowControl/>
              <w:jc w:val="center"/>
            </w:pPr>
            <w:r>
              <w:t>1</w:t>
            </w:r>
          </w:p>
        </w:tc>
        <w:tc>
          <w:tcPr>
            <w:tcW w:w="1559" w:type="dxa"/>
            <w:vMerge w:val="restart"/>
            <w:tcBorders>
              <w:right w:val="single" w:sz="6" w:space="0" w:color="000000"/>
            </w:tcBorders>
          </w:tcPr>
          <w:p w:rsidR="00903465" w:rsidRDefault="002A0530">
            <w:pPr>
              <w:widowControl/>
              <w:pBdr>
                <w:top w:val="nil"/>
                <w:left w:val="nil"/>
                <w:bottom w:val="nil"/>
                <w:right w:val="nil"/>
                <w:between w:val="nil"/>
              </w:pBdr>
              <w:jc w:val="center"/>
            </w:pPr>
            <w:r>
              <w:t>訂定目的</w:t>
            </w:r>
          </w:p>
        </w:tc>
        <w:tc>
          <w:tcPr>
            <w:tcW w:w="5528" w:type="dxa"/>
            <w:tcBorders>
              <w:top w:val="single" w:sz="4" w:space="0" w:color="000000"/>
              <w:left w:val="single" w:sz="6" w:space="0" w:color="000000"/>
              <w:bottom w:val="single" w:sz="4" w:space="0" w:color="000000"/>
              <w:right w:val="single" w:sz="4" w:space="0" w:color="000000"/>
            </w:tcBorders>
            <w:shd w:val="clear" w:color="auto" w:fill="FFFFFF"/>
          </w:tcPr>
          <w:p w:rsidR="00903465" w:rsidRDefault="002A0530">
            <w:pPr>
              <w:widowControl/>
              <w:pBdr>
                <w:top w:val="nil"/>
                <w:left w:val="nil"/>
                <w:bottom w:val="nil"/>
                <w:right w:val="nil"/>
                <w:between w:val="nil"/>
              </w:pBdr>
              <w:jc w:val="center"/>
            </w:pPr>
            <w:r>
              <w:t>為</w:t>
            </w:r>
            <w:r>
              <w:t>…</w:t>
            </w:r>
            <w:r>
              <w:t>，訂定本</w:t>
            </w:r>
            <w:r>
              <w:t>OO/</w:t>
            </w:r>
            <w:r>
              <w:t>國立臺灣大學</w:t>
            </w:r>
            <w:r>
              <w:t>OO(</w:t>
            </w:r>
            <w:r>
              <w:t>下稱本</w:t>
            </w:r>
            <w:r>
              <w:t>OO)1</w:t>
            </w:r>
            <w:r>
              <w:t>。</w:t>
            </w:r>
          </w:p>
        </w:tc>
        <w:tc>
          <w:tcPr>
            <w:tcW w:w="6015" w:type="dxa"/>
            <w:tcBorders>
              <w:top w:val="single" w:sz="4" w:space="0" w:color="000000"/>
              <w:left w:val="nil"/>
              <w:bottom w:val="single" w:sz="4" w:space="0" w:color="000000"/>
              <w:right w:val="single" w:sz="4" w:space="0" w:color="000000"/>
            </w:tcBorders>
            <w:shd w:val="clear" w:color="auto" w:fill="FFFFFF"/>
          </w:tcPr>
          <w:p w:rsidR="00903465" w:rsidRDefault="002A0530">
            <w:pPr>
              <w:widowControl/>
              <w:pBdr>
                <w:top w:val="nil"/>
                <w:left w:val="nil"/>
                <w:bottom w:val="nil"/>
                <w:right w:val="nil"/>
                <w:between w:val="nil"/>
              </w:pBdr>
              <w:jc w:val="center"/>
            </w:pPr>
            <w:r>
              <w:t>為辦理學生出國修課學分</w:t>
            </w:r>
            <w:proofErr w:type="gramStart"/>
            <w:r>
              <w:t>採</w:t>
            </w:r>
            <w:proofErr w:type="gramEnd"/>
            <w:r>
              <w:t>計事宜，訂定本要點。</w:t>
            </w:r>
          </w:p>
        </w:tc>
      </w:tr>
      <w:tr w:rsidR="00903465">
        <w:trPr>
          <w:trHeight w:val="1440"/>
        </w:trPr>
        <w:tc>
          <w:tcPr>
            <w:tcW w:w="846" w:type="dxa"/>
            <w:vMerge/>
          </w:tcPr>
          <w:p w:rsidR="00903465" w:rsidRDefault="00903465">
            <w:pPr>
              <w:pBdr>
                <w:top w:val="nil"/>
                <w:left w:val="nil"/>
                <w:bottom w:val="nil"/>
                <w:right w:val="nil"/>
                <w:between w:val="nil"/>
              </w:pBdr>
              <w:spacing w:line="276" w:lineRule="auto"/>
            </w:pPr>
          </w:p>
        </w:tc>
        <w:tc>
          <w:tcPr>
            <w:tcW w:w="1559" w:type="dxa"/>
            <w:vMerge/>
          </w:tcPr>
          <w:p w:rsidR="00903465" w:rsidRDefault="00903465">
            <w:pPr>
              <w:pBdr>
                <w:top w:val="nil"/>
                <w:left w:val="nil"/>
                <w:bottom w:val="nil"/>
                <w:right w:val="nil"/>
                <w:between w:val="nil"/>
              </w:pBdr>
              <w:spacing w:line="276" w:lineRule="auto"/>
            </w:pPr>
          </w:p>
        </w:tc>
        <w:tc>
          <w:tcPr>
            <w:tcW w:w="5528" w:type="dxa"/>
            <w:tcBorders>
              <w:top w:val="single" w:sz="4" w:space="0" w:color="000000"/>
              <w:left w:val="nil"/>
              <w:bottom w:val="single" w:sz="4" w:space="0" w:color="000000"/>
              <w:right w:val="single" w:sz="4" w:space="0" w:color="000000"/>
            </w:tcBorders>
            <w:shd w:val="clear" w:color="auto" w:fill="D9D9D9"/>
          </w:tcPr>
          <w:p w:rsidR="00903465" w:rsidRDefault="002A0530">
            <w:pPr>
              <w:widowControl/>
            </w:pPr>
            <w:r>
              <w:rPr>
                <w:rFonts w:ascii="Times New Roman" w:eastAsia="Times New Roman" w:hAnsi="Times New Roman" w:cs="Times New Roman"/>
              </w:rPr>
              <w:t xml:space="preserve">The </w:t>
            </w:r>
            <w:r>
              <w:rPr>
                <w:rFonts w:ascii="Times New Roman" w:eastAsia="Times New Roman" w:hAnsi="Times New Roman" w:cs="Times New Roman"/>
                <w:i/>
                <w:highlight w:val="yellow"/>
              </w:rPr>
              <w:t>National Taiwan University</w:t>
            </w:r>
            <w:r>
              <w:rPr>
                <w:rFonts w:ascii="Times New Roman" w:eastAsia="Times New Roman" w:hAnsi="Times New Roman" w:cs="Times New Roman"/>
                <w:i/>
              </w:rPr>
              <w:t xml:space="preserve"> OO </w:t>
            </w:r>
            <w:r>
              <w:rPr>
                <w:rFonts w:ascii="Times New Roman" w:eastAsia="Times New Roman" w:hAnsi="Times New Roman" w:cs="Times New Roman"/>
              </w:rPr>
              <w:t>(</w:t>
            </w:r>
            <w:r>
              <w:rPr>
                <w:rFonts w:ascii="Times New Roman" w:eastAsia="Times New Roman" w:hAnsi="Times New Roman" w:cs="Times New Roman"/>
                <w:highlight w:val="cyan"/>
              </w:rPr>
              <w:t>“</w:t>
            </w:r>
            <w:r>
              <w:rPr>
                <w:rFonts w:ascii="Times New Roman" w:eastAsia="Times New Roman" w:hAnsi="Times New Roman" w:cs="Times New Roman"/>
              </w:rPr>
              <w:t>the OO</w:t>
            </w:r>
            <w:r>
              <w:rPr>
                <w:rFonts w:ascii="Times New Roman" w:eastAsia="Times New Roman" w:hAnsi="Times New Roman" w:cs="Times New Roman"/>
                <w:highlight w:val="cyan"/>
              </w:rPr>
              <w:t>”</w:t>
            </w:r>
            <w:r>
              <w:rPr>
                <w:rFonts w:ascii="Times New Roman" w:eastAsia="Times New Roman" w:hAnsi="Times New Roman" w:cs="Times New Roman"/>
              </w:rPr>
              <w:t>)</w:t>
            </w:r>
            <w:sdt>
              <w:sdtPr>
                <w:tag w:val="goog_rdk_1"/>
                <w:id w:val="587204565"/>
              </w:sdtPr>
              <w:sdtEndPr/>
              <w:sdtContent>
                <w:r>
                  <w:rPr>
                    <w:rFonts w:ascii="Gungsuh" w:eastAsia="Gungsuh" w:hAnsi="Gungsuh" w:cs="Gungsuh"/>
                    <w:vertAlign w:val="superscript"/>
                  </w:rPr>
                  <w:t>2、3</w:t>
                </w:r>
              </w:sdtContent>
            </w:sdt>
            <w:r>
              <w:rPr>
                <w:rFonts w:ascii="Times New Roman" w:eastAsia="Times New Roman" w:hAnsi="Times New Roman" w:cs="Times New Roman"/>
              </w:rPr>
              <w:t xml:space="preserve"> are formulated</w:t>
            </w:r>
            <w:r>
              <w:rPr>
                <w:rFonts w:ascii="Times New Roman" w:eastAsia="Times New Roman" w:hAnsi="Times New Roman" w:cs="Times New Roman"/>
                <w:vertAlign w:val="superscript"/>
              </w:rPr>
              <w:t>4</w:t>
            </w:r>
            <w:r>
              <w:rPr>
                <w:rFonts w:ascii="Times New Roman" w:eastAsia="Times New Roman" w:hAnsi="Times New Roman" w:cs="Times New Roman"/>
              </w:rPr>
              <w:t xml:space="preserve"> to…</w:t>
            </w:r>
            <w:proofErr w:type="gramStart"/>
            <w:r>
              <w:rPr>
                <w:rFonts w:ascii="Times New Roman" w:eastAsia="Times New Roman" w:hAnsi="Times New Roman" w:cs="Times New Roman"/>
              </w:rPr>
              <w:t>…</w:t>
            </w:r>
            <w:proofErr w:type="gramEnd"/>
          </w:p>
        </w:tc>
        <w:tc>
          <w:tcPr>
            <w:tcW w:w="6015" w:type="dxa"/>
            <w:tcBorders>
              <w:top w:val="nil"/>
              <w:left w:val="nil"/>
              <w:bottom w:val="nil"/>
              <w:right w:val="single" w:sz="4" w:space="0" w:color="000000"/>
            </w:tcBorders>
            <w:shd w:val="clear" w:color="auto" w:fill="D9D9D9"/>
          </w:tcPr>
          <w:p w:rsidR="00903465" w:rsidRDefault="002A0530">
            <w:pPr>
              <w:widowControl/>
              <w:jc w:val="both"/>
            </w:pPr>
            <w:r>
              <w:rPr>
                <w:rFonts w:ascii="Times New Roman" w:eastAsia="Times New Roman" w:hAnsi="Times New Roman" w:cs="Times New Roman"/>
              </w:rPr>
              <w:t xml:space="preserve">The </w:t>
            </w:r>
            <w:r>
              <w:rPr>
                <w:rFonts w:ascii="Times New Roman" w:eastAsia="Times New Roman" w:hAnsi="Times New Roman" w:cs="Times New Roman"/>
                <w:i/>
                <w:highlight w:val="yellow"/>
              </w:rPr>
              <w:t>National Taiwan University</w:t>
            </w:r>
            <w:r>
              <w:rPr>
                <w:rFonts w:ascii="Times New Roman" w:eastAsia="Times New Roman" w:hAnsi="Times New Roman" w:cs="Times New Roman"/>
              </w:rPr>
              <w:t xml:space="preserve"> </w:t>
            </w:r>
            <w:r>
              <w:rPr>
                <w:rFonts w:ascii="Times New Roman" w:eastAsia="Times New Roman" w:hAnsi="Times New Roman" w:cs="Times New Roman"/>
                <w:i/>
              </w:rPr>
              <w:t xml:space="preserve">Directives Governing Transfers of Course Credits Acquired Abroad </w:t>
            </w:r>
            <w:r>
              <w:rPr>
                <w:rFonts w:ascii="Times New Roman" w:eastAsia="Times New Roman" w:hAnsi="Times New Roman" w:cs="Times New Roman"/>
              </w:rPr>
              <w:t>(</w:t>
            </w:r>
            <w:r>
              <w:rPr>
                <w:rFonts w:ascii="Times New Roman" w:eastAsia="Times New Roman" w:hAnsi="Times New Roman" w:cs="Times New Roman"/>
                <w:highlight w:val="cyan"/>
              </w:rPr>
              <w:t>“</w:t>
            </w:r>
            <w:r>
              <w:rPr>
                <w:rFonts w:ascii="Times New Roman" w:eastAsia="Times New Roman" w:hAnsi="Times New Roman" w:cs="Times New Roman"/>
              </w:rPr>
              <w:t>the Directives</w:t>
            </w:r>
            <w:r>
              <w:rPr>
                <w:rFonts w:ascii="Times New Roman" w:eastAsia="Times New Roman" w:hAnsi="Times New Roman" w:cs="Times New Roman"/>
                <w:highlight w:val="cyan"/>
              </w:rPr>
              <w:t>”</w:t>
            </w:r>
            <w:r>
              <w:rPr>
                <w:rFonts w:ascii="Times New Roman" w:eastAsia="Times New Roman" w:hAnsi="Times New Roman" w:cs="Times New Roman"/>
              </w:rPr>
              <w:t>) are formulated to regulate the transfer of course credits acquired abroad by students of the University.</w:t>
            </w:r>
          </w:p>
        </w:tc>
      </w:tr>
      <w:tr w:rsidR="00903465">
        <w:trPr>
          <w:trHeight w:val="1440"/>
        </w:trPr>
        <w:tc>
          <w:tcPr>
            <w:tcW w:w="846" w:type="dxa"/>
            <w:vMerge w:val="restart"/>
          </w:tcPr>
          <w:p w:rsidR="00903465" w:rsidRDefault="002A0530">
            <w:pPr>
              <w:widowControl/>
              <w:jc w:val="center"/>
            </w:pPr>
            <w:r>
              <w:t>2</w:t>
            </w:r>
          </w:p>
        </w:tc>
        <w:tc>
          <w:tcPr>
            <w:tcW w:w="1559" w:type="dxa"/>
            <w:vMerge w:val="restart"/>
            <w:tcBorders>
              <w:right w:val="single" w:sz="6" w:space="0" w:color="000000"/>
            </w:tcBorders>
          </w:tcPr>
          <w:p w:rsidR="00903465" w:rsidRDefault="002A0530">
            <w:pPr>
              <w:widowControl/>
              <w:jc w:val="center"/>
            </w:pPr>
            <w:r>
              <w:t>訂定主體及訂定目的</w:t>
            </w:r>
          </w:p>
        </w:tc>
        <w:tc>
          <w:tcPr>
            <w:tcW w:w="5528" w:type="dxa"/>
            <w:tcBorders>
              <w:top w:val="single" w:sz="4" w:space="0" w:color="000000"/>
              <w:left w:val="single" w:sz="6" w:space="0" w:color="000000"/>
              <w:bottom w:val="single" w:sz="4" w:space="0" w:color="000000"/>
              <w:right w:val="single" w:sz="4" w:space="0" w:color="000000"/>
            </w:tcBorders>
            <w:shd w:val="clear" w:color="auto" w:fill="auto"/>
          </w:tcPr>
          <w:p w:rsidR="00903465" w:rsidRDefault="006765CC">
            <w:pPr>
              <w:widowControl/>
            </w:pPr>
            <w:sdt>
              <w:sdtPr>
                <w:tag w:val="goog_rdk_2"/>
                <w:id w:val="-1162002408"/>
              </w:sdtPr>
              <w:sdtEndPr/>
              <w:sdtContent>
                <w:r w:rsidR="002A0530">
                  <w:rPr>
                    <w:rFonts w:ascii="Gungsuh" w:eastAsia="Gungsuh" w:hAnsi="Gungsuh" w:cs="Gungsuh"/>
                  </w:rPr>
                  <w:t>本校/國立臺灣大學(下稱本校)</w:t>
                </w:r>
              </w:sdtContent>
            </w:sdt>
            <w:r w:rsidR="002A0530">
              <w:rPr>
                <w:rFonts w:ascii="Times New Roman" w:eastAsia="Times New Roman" w:hAnsi="Times New Roman" w:cs="Times New Roman"/>
                <w:vertAlign w:val="superscript"/>
              </w:rPr>
              <w:t>8</w:t>
            </w:r>
            <w:sdt>
              <w:sdtPr>
                <w:tag w:val="goog_rdk_3"/>
                <w:id w:val="755939236"/>
              </w:sdtPr>
              <w:sdtEndPr/>
              <w:sdtContent>
                <w:r w:rsidR="002A0530">
                  <w:rPr>
                    <w:rFonts w:ascii="Gungsuh" w:eastAsia="Gungsuh" w:hAnsi="Gungsuh" w:cs="Gungsuh"/>
                  </w:rPr>
                  <w:t>為…，</w:t>
                </w:r>
              </w:sdtContent>
            </w:sdt>
            <w:sdt>
              <w:sdtPr>
                <w:tag w:val="goog_rdk_4"/>
                <w:id w:val="1845131506"/>
              </w:sdtPr>
              <w:sdtEndPr/>
              <w:sdtContent>
                <w:r w:rsidR="002A0530">
                  <w:rPr>
                    <w:rFonts w:ascii="Gungsuh" w:eastAsia="Gungsuh" w:hAnsi="Gungsuh" w:cs="Gungsuh"/>
                  </w:rPr>
                  <w:t>訂定國立臺灣大學OO(下稱本OO)</w:t>
                </w:r>
              </w:sdtContent>
            </w:sdt>
            <w:r w:rsidR="002A0530">
              <w:rPr>
                <w:rFonts w:ascii="Times New Roman" w:eastAsia="Times New Roman" w:hAnsi="Times New Roman" w:cs="Times New Roman"/>
                <w:vertAlign w:val="superscript"/>
              </w:rPr>
              <w:t>1</w:t>
            </w:r>
            <w:sdt>
              <w:sdtPr>
                <w:tag w:val="goog_rdk_5"/>
                <w:id w:val="918527625"/>
              </w:sdtPr>
              <w:sdtEndPr/>
              <w:sdtContent>
                <w:r w:rsidR="002A0530">
                  <w:rPr>
                    <w:rFonts w:ascii="Gungsuh" w:eastAsia="Gungsuh" w:hAnsi="Gungsuh" w:cs="Gungsuh"/>
                  </w:rPr>
                  <w:t>/本OO。</w:t>
                </w:r>
              </w:sdtContent>
            </w:sdt>
          </w:p>
        </w:tc>
        <w:tc>
          <w:tcPr>
            <w:tcW w:w="6015" w:type="dxa"/>
            <w:tcBorders>
              <w:top w:val="single" w:sz="4" w:space="0" w:color="000000"/>
              <w:left w:val="single" w:sz="4" w:space="0" w:color="000000"/>
              <w:bottom w:val="single" w:sz="4" w:space="0" w:color="000000"/>
              <w:right w:val="single" w:sz="4" w:space="0" w:color="000000"/>
            </w:tcBorders>
            <w:shd w:val="clear" w:color="auto" w:fill="auto"/>
          </w:tcPr>
          <w:p w:rsidR="00903465" w:rsidRDefault="002A0530">
            <w:pPr>
              <w:widowControl/>
            </w:pPr>
            <w:r>
              <w:t>本校為推動教學助理制度，以體現並深化學生專業知能學習，訂定國立臺灣大學教務處教學助理制度獎勵金實施辦法</w:t>
            </w:r>
            <w:r>
              <w:t>(</w:t>
            </w:r>
            <w:r>
              <w:t>下稱本辦法</w:t>
            </w:r>
            <w:r>
              <w:t>)</w:t>
            </w:r>
            <w:r>
              <w:t>。</w:t>
            </w:r>
          </w:p>
        </w:tc>
      </w:tr>
      <w:tr w:rsidR="00903465">
        <w:trPr>
          <w:trHeight w:val="1440"/>
        </w:trPr>
        <w:tc>
          <w:tcPr>
            <w:tcW w:w="846" w:type="dxa"/>
            <w:vMerge/>
          </w:tcPr>
          <w:p w:rsidR="00903465" w:rsidRDefault="00903465">
            <w:pPr>
              <w:widowControl/>
              <w:jc w:val="center"/>
            </w:pPr>
          </w:p>
        </w:tc>
        <w:tc>
          <w:tcPr>
            <w:tcW w:w="1559" w:type="dxa"/>
            <w:vMerge/>
          </w:tcPr>
          <w:p w:rsidR="00903465" w:rsidRDefault="00903465">
            <w:pPr>
              <w:widowControl/>
              <w:jc w:val="center"/>
            </w:pPr>
          </w:p>
        </w:tc>
        <w:tc>
          <w:tcPr>
            <w:tcW w:w="5528" w:type="dxa"/>
            <w:tcBorders>
              <w:top w:val="single" w:sz="4" w:space="0" w:color="000000"/>
              <w:left w:val="nil"/>
              <w:bottom w:val="single" w:sz="4" w:space="0" w:color="000000"/>
              <w:right w:val="single" w:sz="4" w:space="0" w:color="000000"/>
            </w:tcBorders>
            <w:shd w:val="clear" w:color="auto" w:fill="D9D9D9"/>
          </w:tcPr>
          <w:p w:rsidR="00903465" w:rsidRDefault="002A0530">
            <w:pPr>
              <w:widowControl/>
            </w:pPr>
            <w:bookmarkStart w:id="1" w:name="_heading=h.gjdgxs" w:colFirst="0" w:colLast="0"/>
            <w:bookmarkEnd w:id="1"/>
            <w:r>
              <w:rPr>
                <w:rFonts w:ascii="Times New Roman" w:eastAsia="Times New Roman" w:hAnsi="Times New Roman" w:cs="Times New Roman"/>
              </w:rPr>
              <w:t xml:space="preserve">National Taiwan University (NTU or </w:t>
            </w:r>
            <w:r>
              <w:rPr>
                <w:rFonts w:ascii="Times New Roman" w:eastAsia="Times New Roman" w:hAnsi="Times New Roman" w:cs="Times New Roman"/>
                <w:highlight w:val="cyan"/>
              </w:rPr>
              <w:t>“</w:t>
            </w:r>
            <w:r>
              <w:rPr>
                <w:rFonts w:ascii="Times New Roman" w:eastAsia="Times New Roman" w:hAnsi="Times New Roman" w:cs="Times New Roman"/>
              </w:rPr>
              <w:t>the University</w:t>
            </w:r>
            <w:r>
              <w:rPr>
                <w:rFonts w:ascii="Times New Roman" w:eastAsia="Times New Roman" w:hAnsi="Times New Roman" w:cs="Times New Roman"/>
                <w:highlight w:val="cyan"/>
              </w:rPr>
              <w:t>”</w:t>
            </w:r>
            <w:r>
              <w:rPr>
                <w:rFonts w:ascii="Times New Roman" w:eastAsia="Times New Roman" w:hAnsi="Times New Roman" w:cs="Times New Roman"/>
                <w:vertAlign w:val="superscript"/>
              </w:rPr>
              <w:t>9</w:t>
            </w:r>
            <w:r>
              <w:rPr>
                <w:rFonts w:ascii="Times New Roman" w:eastAsia="Times New Roman" w:hAnsi="Times New Roman" w:cs="Times New Roman"/>
              </w:rPr>
              <w:t>) formulates</w:t>
            </w:r>
            <w:r>
              <w:rPr>
                <w:rFonts w:ascii="Times New Roman" w:eastAsia="Times New Roman" w:hAnsi="Times New Roman" w:cs="Times New Roman"/>
                <w:vertAlign w:val="superscript"/>
              </w:rPr>
              <w:t>4</w:t>
            </w:r>
            <w:r>
              <w:rPr>
                <w:rFonts w:ascii="Times New Roman" w:eastAsia="Times New Roman" w:hAnsi="Times New Roman" w:cs="Times New Roman"/>
              </w:rPr>
              <w:t xml:space="preserve"> the NTU </w:t>
            </w:r>
            <w:r>
              <w:rPr>
                <w:rFonts w:ascii="Times New Roman" w:eastAsia="Times New Roman" w:hAnsi="Times New Roman" w:cs="Times New Roman"/>
                <w:i/>
              </w:rPr>
              <w:t xml:space="preserve">OO </w:t>
            </w:r>
            <w:r>
              <w:rPr>
                <w:rFonts w:ascii="Times New Roman" w:eastAsia="Times New Roman" w:hAnsi="Times New Roman" w:cs="Times New Roman"/>
              </w:rPr>
              <w:t>(</w:t>
            </w:r>
            <w:r>
              <w:rPr>
                <w:rFonts w:ascii="Times New Roman" w:eastAsia="Times New Roman" w:hAnsi="Times New Roman" w:cs="Times New Roman"/>
                <w:highlight w:val="cyan"/>
              </w:rPr>
              <w:t>“</w:t>
            </w:r>
            <w:r>
              <w:rPr>
                <w:rFonts w:ascii="Times New Roman" w:eastAsia="Times New Roman" w:hAnsi="Times New Roman" w:cs="Times New Roman"/>
              </w:rPr>
              <w:t>the OO</w:t>
            </w:r>
            <w:r>
              <w:rPr>
                <w:rFonts w:ascii="Times New Roman" w:eastAsia="Times New Roman" w:hAnsi="Times New Roman" w:cs="Times New Roman"/>
                <w:highlight w:val="cyan"/>
              </w:rPr>
              <w:t>”</w:t>
            </w:r>
            <w:r>
              <w:rPr>
                <w:rFonts w:ascii="Times New Roman" w:eastAsia="Times New Roman" w:hAnsi="Times New Roman" w:cs="Times New Roman"/>
              </w:rPr>
              <w:t>)</w:t>
            </w:r>
            <w:sdt>
              <w:sdtPr>
                <w:tag w:val="goog_rdk_6"/>
                <w:id w:val="1570314543"/>
              </w:sdtPr>
              <w:sdtEndPr/>
              <w:sdtContent>
                <w:r>
                  <w:rPr>
                    <w:rFonts w:ascii="Gungsuh" w:eastAsia="Gungsuh" w:hAnsi="Gungsuh" w:cs="Gungsuh"/>
                    <w:vertAlign w:val="superscript"/>
                  </w:rPr>
                  <w:t>2、3</w:t>
                </w:r>
              </w:sdtContent>
            </w:sdt>
            <w:r>
              <w:rPr>
                <w:rFonts w:ascii="Times New Roman" w:eastAsia="Times New Roman" w:hAnsi="Times New Roman" w:cs="Times New Roman"/>
              </w:rPr>
              <w:t xml:space="preserve"> to…</w:t>
            </w:r>
            <w:proofErr w:type="gramStart"/>
            <w:r>
              <w:rPr>
                <w:rFonts w:ascii="Times New Roman" w:eastAsia="Times New Roman" w:hAnsi="Times New Roman" w:cs="Times New Roman"/>
              </w:rPr>
              <w:t>…</w:t>
            </w:r>
            <w:proofErr w:type="gramEnd"/>
          </w:p>
        </w:tc>
        <w:tc>
          <w:tcPr>
            <w:tcW w:w="6015" w:type="dxa"/>
            <w:tcBorders>
              <w:top w:val="single" w:sz="4" w:space="0" w:color="000000"/>
              <w:left w:val="nil"/>
              <w:bottom w:val="single" w:sz="4" w:space="0" w:color="000000"/>
              <w:right w:val="single" w:sz="4" w:space="0" w:color="000000"/>
            </w:tcBorders>
            <w:shd w:val="clear" w:color="auto" w:fill="D9D9D9"/>
          </w:tcPr>
          <w:p w:rsidR="00903465" w:rsidRDefault="002A0530">
            <w:pPr>
              <w:widowControl/>
            </w:pPr>
            <w:r>
              <w:rPr>
                <w:rFonts w:ascii="Times New Roman" w:eastAsia="Times New Roman" w:hAnsi="Times New Roman" w:cs="Times New Roman"/>
              </w:rPr>
              <w:t xml:space="preserve">National Taiwan University (NTU or </w:t>
            </w:r>
            <w:r>
              <w:rPr>
                <w:rFonts w:ascii="Times New Roman" w:eastAsia="Times New Roman" w:hAnsi="Times New Roman" w:cs="Times New Roman"/>
                <w:highlight w:val="cyan"/>
              </w:rPr>
              <w:t>“</w:t>
            </w:r>
            <w:r>
              <w:rPr>
                <w:rFonts w:ascii="Times New Roman" w:eastAsia="Times New Roman" w:hAnsi="Times New Roman" w:cs="Times New Roman"/>
              </w:rPr>
              <w:t>the University</w:t>
            </w:r>
            <w:r>
              <w:rPr>
                <w:rFonts w:ascii="Times New Roman" w:eastAsia="Times New Roman" w:hAnsi="Times New Roman" w:cs="Times New Roman"/>
                <w:highlight w:val="cyan"/>
              </w:rPr>
              <w:t>”</w:t>
            </w:r>
            <w:r>
              <w:rPr>
                <w:rFonts w:ascii="Times New Roman" w:eastAsia="Times New Roman" w:hAnsi="Times New Roman" w:cs="Times New Roman"/>
              </w:rPr>
              <w:t xml:space="preserve">) formulates the NTU </w:t>
            </w:r>
            <w:r>
              <w:rPr>
                <w:rFonts w:ascii="Times New Roman" w:eastAsia="Times New Roman" w:hAnsi="Times New Roman" w:cs="Times New Roman"/>
                <w:i/>
              </w:rPr>
              <w:t>Regulations Governing Teaching Assistant Scholarship</w:t>
            </w:r>
            <w:r>
              <w:rPr>
                <w:rFonts w:ascii="Times New Roman" w:eastAsia="Times New Roman" w:hAnsi="Times New Roman" w:cs="Times New Roman"/>
              </w:rPr>
              <w:t xml:space="preserve"> (</w:t>
            </w:r>
            <w:r>
              <w:rPr>
                <w:rFonts w:ascii="Times New Roman" w:eastAsia="Times New Roman" w:hAnsi="Times New Roman" w:cs="Times New Roman"/>
                <w:highlight w:val="cyan"/>
              </w:rPr>
              <w:t>“</w:t>
            </w:r>
            <w:r>
              <w:rPr>
                <w:rFonts w:ascii="Times New Roman" w:eastAsia="Times New Roman" w:hAnsi="Times New Roman" w:cs="Times New Roman"/>
              </w:rPr>
              <w:t>the Regulations</w:t>
            </w:r>
            <w:r>
              <w:rPr>
                <w:rFonts w:ascii="Times New Roman" w:eastAsia="Times New Roman" w:hAnsi="Times New Roman" w:cs="Times New Roman"/>
                <w:highlight w:val="cyan"/>
              </w:rPr>
              <w:t>”</w:t>
            </w:r>
            <w:r>
              <w:rPr>
                <w:rFonts w:ascii="Times New Roman" w:eastAsia="Times New Roman" w:hAnsi="Times New Roman" w:cs="Times New Roman"/>
              </w:rPr>
              <w:t xml:space="preserve">) to promote the teaching assistant system and cultivate and strengthen students’ professional competencies. </w:t>
            </w:r>
          </w:p>
        </w:tc>
      </w:tr>
      <w:tr w:rsidR="00903465">
        <w:trPr>
          <w:trHeight w:val="1440"/>
        </w:trPr>
        <w:tc>
          <w:tcPr>
            <w:tcW w:w="846" w:type="dxa"/>
            <w:vMerge w:val="restart"/>
          </w:tcPr>
          <w:p w:rsidR="00903465" w:rsidRDefault="002A0530">
            <w:pPr>
              <w:widowControl/>
              <w:jc w:val="center"/>
            </w:pPr>
            <w:r>
              <w:t>3</w:t>
            </w:r>
          </w:p>
        </w:tc>
        <w:tc>
          <w:tcPr>
            <w:tcW w:w="1559" w:type="dxa"/>
            <w:vMerge w:val="restart"/>
          </w:tcPr>
          <w:p w:rsidR="00903465" w:rsidRDefault="006765CC">
            <w:pPr>
              <w:widowControl/>
              <w:jc w:val="center"/>
            </w:pPr>
            <w:sdt>
              <w:sdtPr>
                <w:tag w:val="goog_rdk_7"/>
                <w:id w:val="1905798885"/>
              </w:sdtPr>
              <w:sdtEndPr/>
              <w:sdtContent>
                <w:r w:rsidR="002A0530">
                  <w:rPr>
                    <w:rFonts w:ascii="Gungsuh" w:eastAsia="Gungsuh" w:hAnsi="Gungsuh" w:cs="Gungsuh"/>
                  </w:rPr>
                  <w:t>法源依據(一種)</w:t>
                </w:r>
              </w:sdtContent>
            </w:sdt>
          </w:p>
        </w:tc>
        <w:tc>
          <w:tcPr>
            <w:tcW w:w="55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03465" w:rsidRDefault="006765CC">
            <w:pPr>
              <w:widowControl/>
              <w:spacing w:after="240"/>
              <w:rPr>
                <w:rFonts w:ascii="Times New Roman" w:eastAsia="Times New Roman" w:hAnsi="Times New Roman" w:cs="Times New Roman"/>
              </w:rPr>
            </w:pPr>
            <w:sdt>
              <w:sdtPr>
                <w:tag w:val="goog_rdk_8"/>
                <w:id w:val="1394548509"/>
              </w:sdtPr>
              <w:sdtEndPr/>
              <w:sdtContent>
                <w:r w:rsidR="002A0530">
                  <w:rPr>
                    <w:rFonts w:ascii="Gungsuh" w:eastAsia="Gungsuh" w:hAnsi="Gungsuh" w:cs="Gungsuh"/>
                  </w:rPr>
                  <w:t>依OO法第OO條規定，</w:t>
                </w:r>
              </w:sdtContent>
            </w:sdt>
            <w:r w:rsidR="002A0530">
              <w:t xml:space="preserve"> </w:t>
            </w:r>
            <w:sdt>
              <w:sdtPr>
                <w:tag w:val="goog_rdk_9"/>
                <w:id w:val="-571726925"/>
              </w:sdtPr>
              <w:sdtEndPr/>
              <w:sdtContent>
                <w:r w:rsidR="002A0530">
                  <w:rPr>
                    <w:rFonts w:ascii="Gungsuh" w:eastAsia="Gungsuh" w:hAnsi="Gungsuh" w:cs="Gungsuh"/>
                  </w:rPr>
                  <w:t>訂定國立臺灣大學OO</w:t>
                </w:r>
              </w:sdtContent>
            </w:sdt>
            <w:r w:rsidR="002A0530">
              <w:t>(</w:t>
            </w:r>
            <w:sdt>
              <w:sdtPr>
                <w:tag w:val="goog_rdk_10"/>
                <w:id w:val="-729074180"/>
              </w:sdtPr>
              <w:sdtEndPr/>
              <w:sdtContent>
                <w:r w:rsidR="002A0530">
                  <w:rPr>
                    <w:rFonts w:ascii="Gungsuh" w:eastAsia="Gungsuh" w:hAnsi="Gungsuh" w:cs="Gungsuh"/>
                  </w:rPr>
                  <w:t>下稱本OO</w:t>
                </w:r>
              </w:sdtContent>
            </w:sdt>
            <w:r w:rsidR="002A0530">
              <w:t>)/</w:t>
            </w:r>
            <w:sdt>
              <w:sdtPr>
                <w:tag w:val="goog_rdk_11"/>
                <w:id w:val="1242760935"/>
              </w:sdtPr>
              <w:sdtEndPr/>
              <w:sdtContent>
                <w:r w:rsidR="002A0530">
                  <w:rPr>
                    <w:rFonts w:ascii="Gungsuh" w:eastAsia="Gungsuh" w:hAnsi="Gungsuh" w:cs="Gungsuh"/>
                  </w:rPr>
                  <w:t>本OO</w:t>
                </w:r>
              </w:sdtContent>
            </w:sdt>
            <w:r w:rsidR="002A0530">
              <w:rPr>
                <w:rFonts w:ascii="Times New Roman" w:eastAsia="Times New Roman" w:hAnsi="Times New Roman" w:cs="Times New Roman"/>
                <w:vertAlign w:val="superscript"/>
              </w:rPr>
              <w:t>1</w:t>
            </w:r>
            <w:sdt>
              <w:sdtPr>
                <w:tag w:val="goog_rdk_12"/>
                <w:id w:val="539091611"/>
              </w:sdtPr>
              <w:sdtEndPr/>
              <w:sdtContent>
                <w:r w:rsidR="002A0530">
                  <w:rPr>
                    <w:rFonts w:ascii="Gungsuh" w:eastAsia="Gungsuh" w:hAnsi="Gungsuh" w:cs="Gungsuh"/>
                  </w:rPr>
                  <w:t>。</w:t>
                </w:r>
              </w:sdtContent>
            </w:sdt>
          </w:p>
        </w:tc>
        <w:tc>
          <w:tcPr>
            <w:tcW w:w="60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03465" w:rsidRDefault="006765CC">
            <w:pPr>
              <w:widowControl/>
              <w:spacing w:after="240"/>
              <w:rPr>
                <w:rFonts w:ascii="Times New Roman" w:eastAsia="Times New Roman" w:hAnsi="Times New Roman" w:cs="Times New Roman"/>
              </w:rPr>
            </w:pPr>
            <w:sdt>
              <w:sdtPr>
                <w:tag w:val="goog_rdk_13"/>
                <w:id w:val="-1290192607"/>
              </w:sdtPr>
              <w:sdtEndPr/>
              <w:sdtContent>
                <w:r w:rsidR="002A0530">
                  <w:rPr>
                    <w:rFonts w:ascii="Gungsuh" w:eastAsia="Gungsuh" w:hAnsi="Gungsuh" w:cs="Gungsuh"/>
                  </w:rPr>
                  <w:t>依本校綜合體育館管理辦法第十條規定，訂定本實施細則。</w:t>
                </w:r>
              </w:sdtContent>
            </w:sdt>
          </w:p>
        </w:tc>
      </w:tr>
      <w:tr w:rsidR="00903465">
        <w:trPr>
          <w:trHeight w:val="1440"/>
        </w:trPr>
        <w:tc>
          <w:tcPr>
            <w:tcW w:w="846" w:type="dxa"/>
            <w:vMerge/>
          </w:tcPr>
          <w:p w:rsidR="00903465" w:rsidRDefault="00903465">
            <w:pPr>
              <w:pBdr>
                <w:top w:val="nil"/>
                <w:left w:val="nil"/>
                <w:bottom w:val="nil"/>
                <w:right w:val="nil"/>
                <w:between w:val="nil"/>
              </w:pBdr>
              <w:spacing w:line="276" w:lineRule="auto"/>
            </w:pPr>
          </w:p>
        </w:tc>
        <w:tc>
          <w:tcPr>
            <w:tcW w:w="1559" w:type="dxa"/>
            <w:vMerge/>
          </w:tcPr>
          <w:p w:rsidR="00903465" w:rsidRDefault="00903465">
            <w:pPr>
              <w:pBdr>
                <w:top w:val="nil"/>
                <w:left w:val="nil"/>
                <w:bottom w:val="nil"/>
                <w:right w:val="nil"/>
                <w:between w:val="nil"/>
              </w:pBdr>
              <w:spacing w:line="276" w:lineRule="auto"/>
            </w:pPr>
          </w:p>
        </w:tc>
        <w:tc>
          <w:tcPr>
            <w:tcW w:w="552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903465" w:rsidRDefault="002A0530">
            <w:pPr>
              <w:widowControl/>
              <w:spacing w:after="240"/>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i/>
                <w:highlight w:val="yellow"/>
              </w:rPr>
              <w:t>National Taiwan University</w:t>
            </w:r>
            <w:r>
              <w:rPr>
                <w:rFonts w:ascii="Times New Roman" w:eastAsia="Times New Roman" w:hAnsi="Times New Roman" w:cs="Times New Roman"/>
                <w:i/>
              </w:rPr>
              <w:t xml:space="preserve"> OO</w:t>
            </w:r>
            <w:r>
              <w:rPr>
                <w:rFonts w:ascii="Times New Roman" w:eastAsia="Times New Roman" w:hAnsi="Times New Roman" w:cs="Times New Roman"/>
              </w:rPr>
              <w:t xml:space="preserve"> (</w:t>
            </w:r>
            <w:r>
              <w:rPr>
                <w:rFonts w:ascii="Times New Roman" w:eastAsia="Times New Roman" w:hAnsi="Times New Roman" w:cs="Times New Roman"/>
                <w:highlight w:val="cyan"/>
              </w:rPr>
              <w:t>“</w:t>
            </w:r>
            <w:r>
              <w:rPr>
                <w:rFonts w:ascii="Times New Roman" w:eastAsia="Times New Roman" w:hAnsi="Times New Roman" w:cs="Times New Roman"/>
              </w:rPr>
              <w:t>the OO</w:t>
            </w:r>
            <w:r>
              <w:rPr>
                <w:rFonts w:ascii="Times New Roman" w:eastAsia="Times New Roman" w:hAnsi="Times New Roman" w:cs="Times New Roman"/>
                <w:highlight w:val="cyan"/>
              </w:rPr>
              <w:t>”</w:t>
            </w:r>
            <w:r>
              <w:rPr>
                <w:rFonts w:ascii="Times New Roman" w:eastAsia="Times New Roman" w:hAnsi="Times New Roman" w:cs="Times New Roman"/>
              </w:rPr>
              <w:t>)</w:t>
            </w:r>
            <w:sdt>
              <w:sdtPr>
                <w:tag w:val="goog_rdk_14"/>
                <w:id w:val="68859285"/>
              </w:sdtPr>
              <w:sdtEndPr/>
              <w:sdtContent>
                <w:r>
                  <w:rPr>
                    <w:rFonts w:ascii="Gungsuh" w:eastAsia="Gungsuh" w:hAnsi="Gungsuh" w:cs="Gungsuh"/>
                    <w:vertAlign w:val="superscript"/>
                  </w:rPr>
                  <w:t>2、3</w:t>
                </w:r>
              </w:sdtContent>
            </w:sdt>
            <w:r>
              <w:rPr>
                <w:rFonts w:ascii="Times New Roman" w:eastAsia="Times New Roman" w:hAnsi="Times New Roman" w:cs="Times New Roman"/>
              </w:rPr>
              <w:t xml:space="preserve"> are formulated</w:t>
            </w:r>
            <w:r>
              <w:rPr>
                <w:rFonts w:ascii="Times New Roman" w:eastAsia="Times New Roman" w:hAnsi="Times New Roman" w:cs="Times New Roman"/>
                <w:vertAlign w:val="superscript"/>
              </w:rPr>
              <w:t>4</w:t>
            </w:r>
            <w:r>
              <w:rPr>
                <w:rFonts w:ascii="Times New Roman" w:eastAsia="Times New Roman" w:hAnsi="Times New Roman" w:cs="Times New Roman"/>
              </w:rPr>
              <w:t xml:space="preserve"> in accordance with Article OO</w:t>
            </w:r>
            <w:r>
              <w:rPr>
                <w:rFonts w:ascii="Times New Roman" w:eastAsia="Times New Roman" w:hAnsi="Times New Roman" w:cs="Times New Roman"/>
                <w:vertAlign w:val="superscript"/>
              </w:rPr>
              <w:t>6</w:t>
            </w:r>
            <w:r>
              <w:rPr>
                <w:rFonts w:ascii="Times New Roman" w:eastAsia="Times New Roman" w:hAnsi="Times New Roman" w:cs="Times New Roman"/>
              </w:rPr>
              <w:t xml:space="preserve"> of the </w:t>
            </w:r>
            <w:r>
              <w:rPr>
                <w:rFonts w:ascii="Times New Roman" w:eastAsia="Times New Roman" w:hAnsi="Times New Roman" w:cs="Times New Roman"/>
                <w:i/>
              </w:rPr>
              <w:t>OO Act</w:t>
            </w:r>
            <w:r>
              <w:rPr>
                <w:rFonts w:ascii="Times New Roman" w:eastAsia="Times New Roman" w:hAnsi="Times New Roman" w:cs="Times New Roman"/>
                <w:vertAlign w:val="superscript"/>
              </w:rPr>
              <w:t>7</w:t>
            </w:r>
            <w:r>
              <w:rPr>
                <w:rFonts w:ascii="Times New Roman" w:eastAsia="Times New Roman" w:hAnsi="Times New Roman" w:cs="Times New Roman"/>
              </w:rPr>
              <w:t>.</w:t>
            </w:r>
          </w:p>
        </w:tc>
        <w:tc>
          <w:tcPr>
            <w:tcW w:w="6015" w:type="dxa"/>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903465" w:rsidRDefault="002A0530">
            <w:pPr>
              <w:widowControl/>
              <w:spacing w:after="240"/>
              <w:rPr>
                <w:rFonts w:ascii="Times New Roman" w:eastAsia="Times New Roman" w:hAnsi="Times New Roman" w:cs="Times New Roman"/>
              </w:rPr>
            </w:pPr>
            <w:r>
              <w:rPr>
                <w:rFonts w:ascii="Times New Roman" w:eastAsia="Times New Roman" w:hAnsi="Times New Roman" w:cs="Times New Roman"/>
              </w:rPr>
              <w:t xml:space="preserve">The </w:t>
            </w:r>
            <w:r>
              <w:rPr>
                <w:rFonts w:ascii="Times New Roman" w:eastAsia="Times New Roman" w:hAnsi="Times New Roman" w:cs="Times New Roman"/>
                <w:i/>
                <w:highlight w:val="yellow"/>
              </w:rPr>
              <w:t>National Taiwan University</w:t>
            </w:r>
            <w:r>
              <w:rPr>
                <w:rFonts w:ascii="Times New Roman" w:eastAsia="Times New Roman" w:hAnsi="Times New Roman" w:cs="Times New Roman"/>
              </w:rPr>
              <w:t xml:space="preserve"> (NTU or </w:t>
            </w:r>
            <w:r>
              <w:rPr>
                <w:rFonts w:ascii="Times New Roman" w:eastAsia="Times New Roman" w:hAnsi="Times New Roman" w:cs="Times New Roman"/>
                <w:highlight w:val="cyan"/>
              </w:rPr>
              <w:t>“</w:t>
            </w:r>
            <w:r>
              <w:rPr>
                <w:rFonts w:ascii="Times New Roman" w:eastAsia="Times New Roman" w:hAnsi="Times New Roman" w:cs="Times New Roman"/>
              </w:rPr>
              <w:t>the University</w:t>
            </w:r>
            <w:r>
              <w:rPr>
                <w:rFonts w:ascii="Times New Roman" w:eastAsia="Times New Roman" w:hAnsi="Times New Roman" w:cs="Times New Roman"/>
                <w:highlight w:val="cyan"/>
              </w:rPr>
              <w:t>”</w:t>
            </w:r>
            <w:r>
              <w:rPr>
                <w:rFonts w:ascii="Times New Roman" w:eastAsia="Times New Roman" w:hAnsi="Times New Roman" w:cs="Times New Roman"/>
              </w:rPr>
              <w:t xml:space="preserve">) </w:t>
            </w:r>
            <w:r>
              <w:rPr>
                <w:rFonts w:ascii="Times New Roman" w:eastAsia="Times New Roman" w:hAnsi="Times New Roman" w:cs="Times New Roman"/>
                <w:i/>
              </w:rPr>
              <w:t>Enforcement Rules Governing the Management of Sports Center</w:t>
            </w:r>
            <w:r>
              <w:rPr>
                <w:rFonts w:ascii="Times New Roman" w:eastAsia="Times New Roman" w:hAnsi="Times New Roman" w:cs="Times New Roman"/>
              </w:rPr>
              <w:t xml:space="preserve"> (</w:t>
            </w:r>
            <w:r>
              <w:rPr>
                <w:rFonts w:ascii="Times New Roman" w:eastAsia="Times New Roman" w:hAnsi="Times New Roman" w:cs="Times New Roman"/>
                <w:highlight w:val="cyan"/>
              </w:rPr>
              <w:t>“</w:t>
            </w:r>
            <w:r>
              <w:rPr>
                <w:rFonts w:ascii="Times New Roman" w:eastAsia="Times New Roman" w:hAnsi="Times New Roman" w:cs="Times New Roman"/>
              </w:rPr>
              <w:t>the</w:t>
            </w:r>
            <w:r>
              <w:t xml:space="preserve"> </w:t>
            </w:r>
            <w:r>
              <w:rPr>
                <w:rFonts w:ascii="Times New Roman" w:eastAsia="Times New Roman" w:hAnsi="Times New Roman" w:cs="Times New Roman"/>
              </w:rPr>
              <w:t>Enforcement Rules</w:t>
            </w:r>
            <w:r>
              <w:rPr>
                <w:rFonts w:ascii="Times New Roman" w:eastAsia="Times New Roman" w:hAnsi="Times New Roman" w:cs="Times New Roman"/>
                <w:highlight w:val="cyan"/>
              </w:rPr>
              <w:t>”</w:t>
            </w:r>
            <w:r>
              <w:rPr>
                <w:rFonts w:ascii="Times New Roman" w:eastAsia="Times New Roman" w:hAnsi="Times New Roman" w:cs="Times New Roman"/>
              </w:rPr>
              <w:t>) are formulated in accordance with Article 10 of the NTU</w:t>
            </w:r>
            <w:r>
              <w:rPr>
                <w:rFonts w:ascii="Times New Roman" w:eastAsia="Times New Roman" w:hAnsi="Times New Roman" w:cs="Times New Roman"/>
                <w:i/>
              </w:rPr>
              <w:t xml:space="preserve"> Sports Center Management Regulations</w:t>
            </w:r>
            <w:r>
              <w:rPr>
                <w:rFonts w:ascii="Times New Roman" w:eastAsia="Times New Roman" w:hAnsi="Times New Roman" w:cs="Times New Roman"/>
              </w:rPr>
              <w:t>.</w:t>
            </w:r>
          </w:p>
        </w:tc>
      </w:tr>
      <w:tr w:rsidR="00903465">
        <w:trPr>
          <w:trHeight w:val="1440"/>
        </w:trPr>
        <w:tc>
          <w:tcPr>
            <w:tcW w:w="846" w:type="dxa"/>
            <w:vMerge w:val="restart"/>
          </w:tcPr>
          <w:p w:rsidR="00903465" w:rsidRDefault="002A0530">
            <w:pPr>
              <w:widowControl/>
              <w:jc w:val="center"/>
            </w:pPr>
            <w:r>
              <w:t>4</w:t>
            </w:r>
          </w:p>
        </w:tc>
        <w:tc>
          <w:tcPr>
            <w:tcW w:w="1559" w:type="dxa"/>
            <w:vMerge w:val="restart"/>
          </w:tcPr>
          <w:p w:rsidR="00903465" w:rsidRDefault="002A0530">
            <w:pPr>
              <w:widowControl/>
              <w:jc w:val="center"/>
            </w:pPr>
            <w:r>
              <w:t>法源依據</w:t>
            </w:r>
            <w:sdt>
              <w:sdtPr>
                <w:tag w:val="goog_rdk_15"/>
                <w:id w:val="1744367191"/>
              </w:sdtPr>
              <w:sdtEndPr/>
              <w:sdtContent>
                <w:r>
                  <w:rPr>
                    <w:rFonts w:ascii="Gungsuh" w:eastAsia="Gungsuh" w:hAnsi="Gungsuh" w:cs="Gungsuh"/>
                  </w:rPr>
                  <w:t>(二種以上)</w:t>
                </w:r>
              </w:sdtContent>
            </w:sdt>
          </w:p>
        </w:tc>
        <w:tc>
          <w:tcPr>
            <w:tcW w:w="5528" w:type="dxa"/>
          </w:tcPr>
          <w:p w:rsidR="00903465" w:rsidRDefault="006765CC">
            <w:pPr>
              <w:rPr>
                <w:rFonts w:ascii="Times New Roman" w:eastAsia="Times New Roman" w:hAnsi="Times New Roman" w:cs="Times New Roman"/>
              </w:rPr>
            </w:pPr>
            <w:sdt>
              <w:sdtPr>
                <w:tag w:val="goog_rdk_16"/>
                <w:id w:val="-6595794"/>
              </w:sdtPr>
              <w:sdtEndPr/>
              <w:sdtContent>
                <w:r w:rsidR="002A0530">
                  <w:rPr>
                    <w:rFonts w:ascii="Gungsuh" w:eastAsia="Gungsuh" w:hAnsi="Gungsuh" w:cs="Gungsuh"/>
                  </w:rPr>
                  <w:t>依OO法第OO條</w:t>
                </w:r>
              </w:sdtContent>
            </w:sdt>
            <w:r w:rsidR="002A0530">
              <w:rPr>
                <w:rFonts w:ascii="Times New Roman" w:eastAsia="Times New Roman" w:hAnsi="Times New Roman" w:cs="Times New Roman"/>
                <w:vertAlign w:val="superscript"/>
              </w:rPr>
              <w:t>5</w:t>
            </w:r>
            <w:sdt>
              <w:sdtPr>
                <w:tag w:val="goog_rdk_17"/>
                <w:id w:val="1099213884"/>
              </w:sdtPr>
              <w:sdtEndPr/>
              <w:sdtContent>
                <w:r w:rsidR="002A0530">
                  <w:rPr>
                    <w:rFonts w:ascii="Gungsuh" w:eastAsia="Gungsuh" w:hAnsi="Gungsuh" w:cs="Gungsuh"/>
                  </w:rPr>
                  <w:t>及OO法規定，訂定國立臺灣大學OO(下稱本OO)/本OO</w:t>
                </w:r>
              </w:sdtContent>
            </w:sdt>
            <w:r w:rsidR="002A0530">
              <w:rPr>
                <w:rFonts w:ascii="Times New Roman" w:eastAsia="Times New Roman" w:hAnsi="Times New Roman" w:cs="Times New Roman"/>
                <w:vertAlign w:val="superscript"/>
              </w:rPr>
              <w:t>1</w:t>
            </w:r>
            <w:sdt>
              <w:sdtPr>
                <w:tag w:val="goog_rdk_18"/>
                <w:id w:val="-627544642"/>
              </w:sdtPr>
              <w:sdtEndPr/>
              <w:sdtContent>
                <w:r w:rsidR="002A0530">
                  <w:rPr>
                    <w:rFonts w:ascii="Gungsuh" w:eastAsia="Gungsuh" w:hAnsi="Gungsuh" w:cs="Gungsuh"/>
                  </w:rPr>
                  <w:t>。</w:t>
                </w:r>
              </w:sdtContent>
            </w:sdt>
          </w:p>
          <w:p w:rsidR="00903465" w:rsidRDefault="00903465">
            <w:pPr>
              <w:widowControl/>
              <w:ind w:firstLine="480"/>
            </w:pPr>
          </w:p>
        </w:tc>
        <w:tc>
          <w:tcPr>
            <w:tcW w:w="6015" w:type="dxa"/>
          </w:tcPr>
          <w:p w:rsidR="00903465" w:rsidRDefault="006765CC">
            <w:pPr>
              <w:widowControl/>
            </w:pPr>
            <w:sdt>
              <w:sdtPr>
                <w:tag w:val="goog_rdk_19"/>
                <w:id w:val="1717471400"/>
              </w:sdtPr>
              <w:sdtEndPr/>
              <w:sdtContent>
                <w:r w:rsidR="002A0530">
                  <w:rPr>
                    <w:rFonts w:ascii="Gungsuh" w:eastAsia="Gungsuh" w:hAnsi="Gungsuh" w:cs="Gungsuh"/>
                  </w:rPr>
                  <w:t>依大學法第二十三條及學生</w:t>
                </w:r>
                <w:proofErr w:type="gramStart"/>
                <w:r w:rsidR="002A0530">
                  <w:rPr>
                    <w:rFonts w:ascii="Gungsuh" w:eastAsia="Gungsuh" w:hAnsi="Gungsuh" w:cs="Gungsuh"/>
                  </w:rPr>
                  <w:t>逕</w:t>
                </w:r>
                <w:proofErr w:type="gramEnd"/>
                <w:r w:rsidR="002A0530">
                  <w:rPr>
                    <w:rFonts w:ascii="Gungsuh" w:eastAsia="Gungsuh" w:hAnsi="Gungsuh" w:cs="Gungsuh"/>
                  </w:rPr>
                  <w:t>修讀博士學位辦法規定，訂定國立臺灣大學學生逕行修讀博士學位辦法(下稱本辦法)。</w:t>
                </w:r>
              </w:sdtContent>
            </w:sdt>
          </w:p>
        </w:tc>
      </w:tr>
      <w:tr w:rsidR="00903465">
        <w:trPr>
          <w:trHeight w:val="1440"/>
        </w:trPr>
        <w:tc>
          <w:tcPr>
            <w:tcW w:w="846" w:type="dxa"/>
            <w:vMerge/>
          </w:tcPr>
          <w:p w:rsidR="00903465" w:rsidRDefault="00903465">
            <w:pPr>
              <w:pBdr>
                <w:top w:val="nil"/>
                <w:left w:val="nil"/>
                <w:bottom w:val="nil"/>
                <w:right w:val="nil"/>
                <w:between w:val="nil"/>
              </w:pBdr>
              <w:spacing w:line="276" w:lineRule="auto"/>
            </w:pPr>
          </w:p>
        </w:tc>
        <w:tc>
          <w:tcPr>
            <w:tcW w:w="1559" w:type="dxa"/>
            <w:vMerge/>
          </w:tcPr>
          <w:p w:rsidR="00903465" w:rsidRDefault="00903465">
            <w:pPr>
              <w:pBdr>
                <w:top w:val="nil"/>
                <w:left w:val="nil"/>
                <w:bottom w:val="nil"/>
                <w:right w:val="nil"/>
                <w:between w:val="nil"/>
              </w:pBdr>
              <w:spacing w:line="276" w:lineRule="auto"/>
            </w:pPr>
          </w:p>
        </w:tc>
        <w:tc>
          <w:tcPr>
            <w:tcW w:w="5528" w:type="dxa"/>
            <w:shd w:val="clear" w:color="auto" w:fill="D9D9D9"/>
          </w:tcPr>
          <w:p w:rsidR="00903465" w:rsidRDefault="002A0530">
            <w:pPr>
              <w:widowControl/>
            </w:pPr>
            <w:r>
              <w:rPr>
                <w:rFonts w:ascii="Times New Roman" w:eastAsia="Times New Roman" w:hAnsi="Times New Roman" w:cs="Times New Roman"/>
              </w:rPr>
              <w:t xml:space="preserve">The </w:t>
            </w:r>
            <w:r>
              <w:rPr>
                <w:rFonts w:ascii="Times New Roman" w:eastAsia="Times New Roman" w:hAnsi="Times New Roman" w:cs="Times New Roman"/>
                <w:i/>
                <w:highlight w:val="yellow"/>
              </w:rPr>
              <w:t>National Taiwan University</w:t>
            </w:r>
            <w:r>
              <w:rPr>
                <w:rFonts w:ascii="Times New Roman" w:eastAsia="Times New Roman" w:hAnsi="Times New Roman" w:cs="Times New Roman"/>
              </w:rPr>
              <w:t xml:space="preserve"> </w:t>
            </w:r>
            <w:r>
              <w:rPr>
                <w:rFonts w:ascii="Times New Roman" w:eastAsia="Times New Roman" w:hAnsi="Times New Roman" w:cs="Times New Roman"/>
                <w:i/>
              </w:rPr>
              <w:t xml:space="preserve">OO </w:t>
            </w:r>
            <w:r>
              <w:rPr>
                <w:rFonts w:ascii="Times New Roman" w:eastAsia="Times New Roman" w:hAnsi="Times New Roman" w:cs="Times New Roman"/>
              </w:rPr>
              <w:t>(</w:t>
            </w:r>
            <w:r>
              <w:rPr>
                <w:rFonts w:ascii="Times New Roman" w:eastAsia="Times New Roman" w:hAnsi="Times New Roman" w:cs="Times New Roman"/>
                <w:highlight w:val="cyan"/>
              </w:rPr>
              <w:t>“</w:t>
            </w:r>
            <w:r>
              <w:rPr>
                <w:rFonts w:ascii="Times New Roman" w:eastAsia="Times New Roman" w:hAnsi="Times New Roman" w:cs="Times New Roman"/>
              </w:rPr>
              <w:t>the OO</w:t>
            </w:r>
            <w:r>
              <w:rPr>
                <w:rFonts w:ascii="Times New Roman" w:eastAsia="Times New Roman" w:hAnsi="Times New Roman" w:cs="Times New Roman"/>
                <w:highlight w:val="cyan"/>
              </w:rPr>
              <w:t>”</w:t>
            </w:r>
            <w:r>
              <w:rPr>
                <w:rFonts w:ascii="Times New Roman" w:eastAsia="Times New Roman" w:hAnsi="Times New Roman" w:cs="Times New Roman"/>
              </w:rPr>
              <w:t>)</w:t>
            </w:r>
            <w:sdt>
              <w:sdtPr>
                <w:tag w:val="goog_rdk_20"/>
                <w:id w:val="66851901"/>
              </w:sdtPr>
              <w:sdtEndPr/>
              <w:sdtContent>
                <w:r>
                  <w:rPr>
                    <w:rFonts w:ascii="Gungsuh" w:eastAsia="Gungsuh" w:hAnsi="Gungsuh" w:cs="Gungsuh"/>
                    <w:vertAlign w:val="superscript"/>
                  </w:rPr>
                  <w:t>2、3</w:t>
                </w:r>
              </w:sdtContent>
            </w:sdt>
            <w:r>
              <w:rPr>
                <w:rFonts w:ascii="Times New Roman" w:eastAsia="Times New Roman" w:hAnsi="Times New Roman" w:cs="Times New Roman"/>
              </w:rPr>
              <w:t xml:space="preserve"> are formulated</w:t>
            </w:r>
            <w:r>
              <w:rPr>
                <w:rFonts w:ascii="Times New Roman" w:eastAsia="Times New Roman" w:hAnsi="Times New Roman" w:cs="Times New Roman"/>
                <w:vertAlign w:val="superscript"/>
              </w:rPr>
              <w:t>4</w:t>
            </w:r>
            <w:r>
              <w:rPr>
                <w:rFonts w:ascii="Times New Roman" w:eastAsia="Times New Roman" w:hAnsi="Times New Roman" w:cs="Times New Roman"/>
              </w:rPr>
              <w:t xml:space="preserve"> in accordance with Article OO</w:t>
            </w:r>
            <w:r>
              <w:rPr>
                <w:rFonts w:ascii="Times New Roman" w:eastAsia="Times New Roman" w:hAnsi="Times New Roman" w:cs="Times New Roman"/>
                <w:vertAlign w:val="superscript"/>
              </w:rPr>
              <w:t>6</w:t>
            </w:r>
            <w:r>
              <w:rPr>
                <w:rFonts w:ascii="Times New Roman" w:eastAsia="Times New Roman" w:hAnsi="Times New Roman" w:cs="Times New Roman"/>
              </w:rPr>
              <w:t xml:space="preserve"> of the</w:t>
            </w:r>
            <w:r>
              <w:rPr>
                <w:rFonts w:ascii="Times New Roman" w:eastAsia="Times New Roman" w:hAnsi="Times New Roman" w:cs="Times New Roman"/>
                <w:i/>
              </w:rPr>
              <w:t xml:space="preserve"> OO Act</w:t>
            </w:r>
            <w:r>
              <w:rPr>
                <w:rFonts w:ascii="Times New Roman" w:eastAsia="Times New Roman" w:hAnsi="Times New Roman" w:cs="Times New Roman"/>
                <w:vertAlign w:val="superscript"/>
              </w:rPr>
              <w:t xml:space="preserve">7 </w:t>
            </w:r>
            <w:r>
              <w:rPr>
                <w:rFonts w:ascii="Times New Roman" w:eastAsia="Times New Roman" w:hAnsi="Times New Roman" w:cs="Times New Roman"/>
              </w:rPr>
              <w:t>and the</w:t>
            </w:r>
            <w:r>
              <w:rPr>
                <w:rFonts w:ascii="Times New Roman" w:eastAsia="Times New Roman" w:hAnsi="Times New Roman" w:cs="Times New Roman"/>
                <w:i/>
              </w:rPr>
              <w:t xml:space="preserve"> OO Act.</w:t>
            </w:r>
          </w:p>
        </w:tc>
        <w:tc>
          <w:tcPr>
            <w:tcW w:w="6015" w:type="dxa"/>
            <w:shd w:val="clear" w:color="auto" w:fill="D9D9D9"/>
          </w:tcPr>
          <w:p w:rsidR="00903465" w:rsidRDefault="002A0530">
            <w:pPr>
              <w:widowControl/>
            </w:pPr>
            <w:r>
              <w:rPr>
                <w:rFonts w:ascii="Times New Roman" w:eastAsia="Times New Roman" w:hAnsi="Times New Roman" w:cs="Times New Roman"/>
              </w:rPr>
              <w:t xml:space="preserve">The </w:t>
            </w:r>
            <w:r>
              <w:rPr>
                <w:rFonts w:ascii="Times New Roman" w:eastAsia="Times New Roman" w:hAnsi="Times New Roman" w:cs="Times New Roman"/>
                <w:i/>
                <w:highlight w:val="yellow"/>
              </w:rPr>
              <w:t>National Taiwan University</w:t>
            </w:r>
            <w:r>
              <w:rPr>
                <w:rFonts w:ascii="Times New Roman" w:eastAsia="Times New Roman" w:hAnsi="Times New Roman" w:cs="Times New Roman"/>
                <w:i/>
              </w:rPr>
              <w:t xml:space="preserve"> Regulations</w:t>
            </w:r>
            <w:r>
              <w:rPr>
                <w:rFonts w:ascii="Times New Roman" w:eastAsia="Times New Roman" w:hAnsi="Times New Roman" w:cs="Times New Roman"/>
              </w:rPr>
              <w:t xml:space="preserve"> </w:t>
            </w:r>
            <w:r>
              <w:rPr>
                <w:rFonts w:ascii="Times New Roman" w:eastAsia="Times New Roman" w:hAnsi="Times New Roman" w:cs="Times New Roman"/>
                <w:i/>
              </w:rPr>
              <w:t xml:space="preserve">Governing Direct Ph.D. Programs </w:t>
            </w:r>
            <w:r>
              <w:rPr>
                <w:rFonts w:ascii="Times New Roman" w:eastAsia="Times New Roman" w:hAnsi="Times New Roman" w:cs="Times New Roman"/>
              </w:rPr>
              <w:t>(</w:t>
            </w:r>
            <w:r>
              <w:rPr>
                <w:rFonts w:ascii="Times New Roman" w:eastAsia="Times New Roman" w:hAnsi="Times New Roman" w:cs="Times New Roman"/>
                <w:highlight w:val="cyan"/>
              </w:rPr>
              <w:t>“</w:t>
            </w:r>
            <w:r>
              <w:rPr>
                <w:rFonts w:ascii="Times New Roman" w:eastAsia="Times New Roman" w:hAnsi="Times New Roman" w:cs="Times New Roman"/>
              </w:rPr>
              <w:t>the</w:t>
            </w:r>
            <w:r>
              <w:t xml:space="preserve"> </w:t>
            </w:r>
            <w:r>
              <w:rPr>
                <w:rFonts w:ascii="Times New Roman" w:eastAsia="Times New Roman" w:hAnsi="Times New Roman" w:cs="Times New Roman"/>
              </w:rPr>
              <w:t>Regulations</w:t>
            </w:r>
            <w:r>
              <w:rPr>
                <w:rFonts w:ascii="Times New Roman" w:eastAsia="Times New Roman" w:hAnsi="Times New Roman" w:cs="Times New Roman"/>
                <w:highlight w:val="cyan"/>
              </w:rPr>
              <w:t>”</w:t>
            </w:r>
            <w:r>
              <w:rPr>
                <w:rFonts w:ascii="Times New Roman" w:eastAsia="Times New Roman" w:hAnsi="Times New Roman" w:cs="Times New Roman"/>
              </w:rPr>
              <w:t xml:space="preserve">) are formulated in accordance with Article 23 of the </w:t>
            </w:r>
            <w:r>
              <w:rPr>
                <w:rFonts w:ascii="Times New Roman" w:eastAsia="Times New Roman" w:hAnsi="Times New Roman" w:cs="Times New Roman"/>
                <w:i/>
              </w:rPr>
              <w:t>University Act</w:t>
            </w:r>
            <w:r>
              <w:rPr>
                <w:rFonts w:ascii="Times New Roman" w:eastAsia="Times New Roman" w:hAnsi="Times New Roman" w:cs="Times New Roman"/>
              </w:rPr>
              <w:t xml:space="preserve"> and the </w:t>
            </w:r>
            <w:r>
              <w:rPr>
                <w:rFonts w:ascii="Times New Roman" w:eastAsia="Times New Roman" w:hAnsi="Times New Roman" w:cs="Times New Roman"/>
                <w:i/>
              </w:rPr>
              <w:t>Regulations Governing the Direct Pursuit of Ph.D. Degrees</w:t>
            </w:r>
            <w:r>
              <w:rPr>
                <w:rFonts w:ascii="Times New Roman" w:eastAsia="Times New Roman" w:hAnsi="Times New Roman" w:cs="Times New Roman"/>
              </w:rPr>
              <w:t>.</w:t>
            </w:r>
          </w:p>
        </w:tc>
      </w:tr>
    </w:tbl>
    <w:p w:rsidR="00903465" w:rsidRDefault="00903465">
      <w:pPr>
        <w:spacing w:line="276" w:lineRule="auto"/>
        <w:rPr>
          <w:rFonts w:ascii="Arial" w:eastAsia="Arial" w:hAnsi="Arial" w:cs="Arial"/>
          <w:sz w:val="22"/>
          <w:szCs w:val="22"/>
        </w:rPr>
      </w:pPr>
    </w:p>
    <w:p w:rsidR="00903465" w:rsidRDefault="002A0530">
      <w:r>
        <w:br w:type="page"/>
      </w:r>
    </w:p>
    <w:tbl>
      <w:tblPr>
        <w:tblStyle w:val="afc"/>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559"/>
        <w:gridCol w:w="5528"/>
        <w:gridCol w:w="6015"/>
      </w:tblGrid>
      <w:tr w:rsidR="00903465">
        <w:tc>
          <w:tcPr>
            <w:tcW w:w="846" w:type="dxa"/>
            <w:shd w:val="clear" w:color="auto" w:fill="D0CECE"/>
          </w:tcPr>
          <w:p w:rsidR="00903465" w:rsidRDefault="002A0530">
            <w:pPr>
              <w:widowControl/>
              <w:jc w:val="center"/>
            </w:pPr>
            <w:r>
              <w:lastRenderedPageBreak/>
              <w:t>樣態</w:t>
            </w:r>
          </w:p>
        </w:tc>
        <w:tc>
          <w:tcPr>
            <w:tcW w:w="1559" w:type="dxa"/>
            <w:shd w:val="clear" w:color="auto" w:fill="D0CECE"/>
          </w:tcPr>
          <w:p w:rsidR="00903465" w:rsidRDefault="002A0530">
            <w:pPr>
              <w:widowControl/>
              <w:jc w:val="center"/>
            </w:pPr>
            <w:r>
              <w:t>句型結構</w:t>
            </w:r>
          </w:p>
        </w:tc>
        <w:tc>
          <w:tcPr>
            <w:tcW w:w="5528" w:type="dxa"/>
            <w:shd w:val="clear" w:color="auto" w:fill="D0CECE"/>
          </w:tcPr>
          <w:p w:rsidR="00903465" w:rsidRDefault="002A0530">
            <w:pPr>
              <w:widowControl/>
              <w:jc w:val="center"/>
            </w:pPr>
            <w:r>
              <w:t>首條格式</w:t>
            </w:r>
          </w:p>
        </w:tc>
        <w:tc>
          <w:tcPr>
            <w:tcW w:w="6015" w:type="dxa"/>
            <w:shd w:val="clear" w:color="auto" w:fill="D0CECE"/>
          </w:tcPr>
          <w:p w:rsidR="00903465" w:rsidRDefault="002A0530">
            <w:pPr>
              <w:widowControl/>
              <w:jc w:val="center"/>
            </w:pPr>
            <w:r>
              <w:t>首條範例</w:t>
            </w:r>
          </w:p>
        </w:tc>
      </w:tr>
      <w:tr w:rsidR="00903465">
        <w:trPr>
          <w:trHeight w:val="1393"/>
        </w:trPr>
        <w:tc>
          <w:tcPr>
            <w:tcW w:w="846" w:type="dxa"/>
            <w:vMerge w:val="restart"/>
          </w:tcPr>
          <w:p w:rsidR="00903465" w:rsidRDefault="002A0530">
            <w:pPr>
              <w:widowControl/>
              <w:jc w:val="center"/>
            </w:pPr>
            <w:r>
              <w:t>5</w:t>
            </w:r>
          </w:p>
        </w:tc>
        <w:tc>
          <w:tcPr>
            <w:tcW w:w="1559" w:type="dxa"/>
            <w:vMerge w:val="restart"/>
            <w:tcBorders>
              <w:right w:val="single" w:sz="6" w:space="0" w:color="000000"/>
            </w:tcBorders>
          </w:tcPr>
          <w:p w:rsidR="00903465" w:rsidRDefault="006765CC">
            <w:pPr>
              <w:widowControl/>
              <w:jc w:val="center"/>
              <w:rPr>
                <w:rFonts w:ascii="Times New Roman" w:eastAsia="Times New Roman" w:hAnsi="Times New Roman" w:cs="Times New Roman"/>
              </w:rPr>
            </w:pPr>
            <w:sdt>
              <w:sdtPr>
                <w:tag w:val="goog_rdk_21"/>
                <w:id w:val="-1364125042"/>
              </w:sdtPr>
              <w:sdtEndPr/>
              <w:sdtContent>
                <w:r w:rsidR="002A0530">
                  <w:rPr>
                    <w:rFonts w:ascii="Gungsuh" w:eastAsia="Gungsuh" w:hAnsi="Gungsuh" w:cs="Gungsuh"/>
                  </w:rPr>
                  <w:t>訂定主體及法源依據</w:t>
                </w:r>
              </w:sdtContent>
            </w:sdt>
          </w:p>
        </w:tc>
        <w:tc>
          <w:tcPr>
            <w:tcW w:w="5528" w:type="dxa"/>
            <w:tcBorders>
              <w:top w:val="single" w:sz="4" w:space="0" w:color="000000"/>
              <w:left w:val="single" w:sz="6" w:space="0" w:color="000000"/>
              <w:bottom w:val="single" w:sz="4" w:space="0" w:color="000000"/>
              <w:right w:val="single" w:sz="4" w:space="0" w:color="000000"/>
            </w:tcBorders>
            <w:shd w:val="clear" w:color="auto" w:fill="auto"/>
          </w:tcPr>
          <w:p w:rsidR="00903465" w:rsidRDefault="006765CC">
            <w:pPr>
              <w:widowControl/>
            </w:pPr>
            <w:sdt>
              <w:sdtPr>
                <w:tag w:val="goog_rdk_22"/>
                <w:id w:val="410131739"/>
              </w:sdtPr>
              <w:sdtEndPr/>
              <w:sdtContent>
                <w:r w:rsidR="002A0530">
                  <w:rPr>
                    <w:rFonts w:ascii="Gungsuh" w:eastAsia="Gungsuh" w:hAnsi="Gungsuh" w:cs="Gungsuh"/>
                  </w:rPr>
                  <w:t>本校</w:t>
                </w:r>
              </w:sdtContent>
            </w:sdt>
            <w:sdt>
              <w:sdtPr>
                <w:tag w:val="goog_rdk_23"/>
                <w:id w:val="-382859396"/>
              </w:sdtPr>
              <w:sdtEndPr/>
              <w:sdtContent>
                <w:r w:rsidR="002A0530">
                  <w:rPr>
                    <w:rFonts w:ascii="Gungsuh" w:eastAsia="Gungsuh" w:hAnsi="Gungsuh" w:cs="Gungsuh"/>
                  </w:rPr>
                  <w:t>/國立臺灣大學OO(下稱</w:t>
                </w:r>
              </w:sdtContent>
            </w:sdt>
            <w:sdt>
              <w:sdtPr>
                <w:tag w:val="goog_rdk_24"/>
                <w:id w:val="1775748157"/>
              </w:sdtPr>
              <w:sdtEndPr/>
              <w:sdtContent>
                <w:r w:rsidR="002A0530">
                  <w:rPr>
                    <w:rFonts w:ascii="Gungsuh" w:eastAsia="Gungsuh" w:hAnsi="Gungsuh" w:cs="Gungsuh"/>
                  </w:rPr>
                  <w:t>本校</w:t>
                </w:r>
              </w:sdtContent>
            </w:sdt>
            <w:r w:rsidR="002A0530">
              <w:rPr>
                <w:rFonts w:ascii="Times New Roman" w:eastAsia="Times New Roman" w:hAnsi="Times New Roman" w:cs="Times New Roman"/>
              </w:rPr>
              <w:t>)</w:t>
            </w:r>
            <w:r w:rsidR="002A0530">
              <w:rPr>
                <w:rFonts w:ascii="Times New Roman" w:eastAsia="Times New Roman" w:hAnsi="Times New Roman" w:cs="Times New Roman"/>
                <w:vertAlign w:val="superscript"/>
              </w:rPr>
              <w:t>8</w:t>
            </w:r>
            <w:sdt>
              <w:sdtPr>
                <w:tag w:val="goog_rdk_25"/>
                <w:id w:val="-1407920778"/>
              </w:sdtPr>
              <w:sdtEndPr/>
              <w:sdtContent>
                <w:r w:rsidR="002A0530">
                  <w:rPr>
                    <w:rFonts w:ascii="Gungsuh" w:eastAsia="Gungsuh" w:hAnsi="Gungsuh" w:cs="Gungsuh"/>
                  </w:rPr>
                  <w:t>依國立臺灣大學OO第OO條</w:t>
                </w:r>
              </w:sdtContent>
            </w:sdt>
            <w:r w:rsidR="002A0530">
              <w:rPr>
                <w:rFonts w:ascii="Times New Roman" w:eastAsia="Times New Roman" w:hAnsi="Times New Roman" w:cs="Times New Roman"/>
                <w:vertAlign w:val="superscript"/>
              </w:rPr>
              <w:t>5</w:t>
            </w:r>
            <w:sdt>
              <w:sdtPr>
                <w:tag w:val="goog_rdk_26"/>
                <w:id w:val="1868571211"/>
              </w:sdtPr>
              <w:sdtEndPr/>
              <w:sdtContent>
                <w:r w:rsidR="002A0530">
                  <w:rPr>
                    <w:rFonts w:ascii="Gungsuh" w:eastAsia="Gungsuh" w:hAnsi="Gungsuh" w:cs="Gungsuh"/>
                  </w:rPr>
                  <w:t>規定，訂定國立臺灣大學OO(下稱本OO)</w:t>
                </w:r>
              </w:sdtContent>
            </w:sdt>
            <w:r w:rsidR="002A0530">
              <w:rPr>
                <w:rFonts w:ascii="Times New Roman" w:eastAsia="Times New Roman" w:hAnsi="Times New Roman" w:cs="Times New Roman"/>
                <w:vertAlign w:val="superscript"/>
              </w:rPr>
              <w:t>1</w:t>
            </w:r>
            <w:sdt>
              <w:sdtPr>
                <w:tag w:val="goog_rdk_27"/>
                <w:id w:val="-379014158"/>
              </w:sdtPr>
              <w:sdtEndPr/>
              <w:sdtContent>
                <w:r w:rsidR="002A0530">
                  <w:rPr>
                    <w:rFonts w:ascii="Gungsuh" w:eastAsia="Gungsuh" w:hAnsi="Gungsuh" w:cs="Gungsuh"/>
                  </w:rPr>
                  <w:t>/本OO</w:t>
                </w:r>
              </w:sdtContent>
            </w:sdt>
            <w:sdt>
              <w:sdtPr>
                <w:tag w:val="goog_rdk_28"/>
                <w:id w:val="-1239708169"/>
              </w:sdtPr>
              <w:sdtEndPr/>
              <w:sdtContent>
                <w:r w:rsidR="002A0530">
                  <w:rPr>
                    <w:rFonts w:ascii="Gungsuh" w:eastAsia="Gungsuh" w:hAnsi="Gungsuh" w:cs="Gungsuh"/>
                  </w:rPr>
                  <w:t>。</w:t>
                </w:r>
              </w:sdtContent>
            </w:sdt>
          </w:p>
        </w:tc>
        <w:tc>
          <w:tcPr>
            <w:tcW w:w="6015" w:type="dxa"/>
            <w:tcBorders>
              <w:top w:val="single" w:sz="4" w:space="0" w:color="000000"/>
              <w:left w:val="nil"/>
              <w:bottom w:val="single" w:sz="4" w:space="0" w:color="000000"/>
              <w:right w:val="single" w:sz="4" w:space="0" w:color="000000"/>
            </w:tcBorders>
            <w:shd w:val="clear" w:color="auto" w:fill="auto"/>
          </w:tcPr>
          <w:p w:rsidR="00903465" w:rsidRDefault="002A0530">
            <w:pPr>
              <w:widowControl/>
            </w:pPr>
            <w:r>
              <w:t>國立臺灣大學依國立臺灣大學教學優良教師遴選及獎勵辦法第八條規定，訂定本細則</w:t>
            </w:r>
            <w:sdt>
              <w:sdtPr>
                <w:tag w:val="goog_rdk_29"/>
                <w:id w:val="-1627467037"/>
              </w:sdtPr>
              <w:sdtEndPr/>
              <w:sdtContent>
                <w:r>
                  <w:rPr>
                    <w:rFonts w:ascii="Gungsuh" w:eastAsia="Gungsuh" w:hAnsi="Gungsuh" w:cs="Gungsuh"/>
                  </w:rPr>
                  <w:t>。</w:t>
                </w:r>
              </w:sdtContent>
            </w:sdt>
          </w:p>
        </w:tc>
      </w:tr>
      <w:tr w:rsidR="00903465">
        <w:trPr>
          <w:trHeight w:val="2195"/>
        </w:trPr>
        <w:tc>
          <w:tcPr>
            <w:tcW w:w="846" w:type="dxa"/>
            <w:vMerge/>
          </w:tcPr>
          <w:p w:rsidR="00903465" w:rsidRDefault="00903465">
            <w:pPr>
              <w:pBdr>
                <w:top w:val="nil"/>
                <w:left w:val="nil"/>
                <w:bottom w:val="nil"/>
                <w:right w:val="nil"/>
                <w:between w:val="nil"/>
              </w:pBdr>
            </w:pPr>
          </w:p>
        </w:tc>
        <w:tc>
          <w:tcPr>
            <w:tcW w:w="1559" w:type="dxa"/>
            <w:vMerge/>
          </w:tcPr>
          <w:p w:rsidR="00903465" w:rsidRDefault="00903465">
            <w:pPr>
              <w:pBdr>
                <w:top w:val="nil"/>
                <w:left w:val="nil"/>
                <w:bottom w:val="nil"/>
                <w:right w:val="nil"/>
                <w:between w:val="nil"/>
              </w:pBdr>
            </w:pPr>
          </w:p>
        </w:tc>
        <w:tc>
          <w:tcPr>
            <w:tcW w:w="5528" w:type="dxa"/>
            <w:tcBorders>
              <w:top w:val="single" w:sz="4" w:space="0" w:color="000000"/>
              <w:left w:val="nil"/>
              <w:bottom w:val="single" w:sz="4" w:space="0" w:color="000000"/>
              <w:right w:val="single" w:sz="4" w:space="0" w:color="000000"/>
            </w:tcBorders>
            <w:shd w:val="clear" w:color="auto" w:fill="D9D9D9"/>
          </w:tcPr>
          <w:p w:rsidR="00903465" w:rsidRDefault="002A0530">
            <w:pPr>
              <w:widowControl/>
            </w:pPr>
            <w:r>
              <w:rPr>
                <w:rFonts w:ascii="Times New Roman" w:eastAsia="Times New Roman" w:hAnsi="Times New Roman" w:cs="Times New Roman"/>
              </w:rPr>
              <w:t xml:space="preserve">National Taiwan University (NTU or </w:t>
            </w:r>
            <w:r>
              <w:rPr>
                <w:rFonts w:ascii="Times New Roman" w:eastAsia="Times New Roman" w:hAnsi="Times New Roman" w:cs="Times New Roman"/>
                <w:highlight w:val="cyan"/>
              </w:rPr>
              <w:t>“</w:t>
            </w:r>
            <w:r>
              <w:rPr>
                <w:rFonts w:ascii="Times New Roman" w:eastAsia="Times New Roman" w:hAnsi="Times New Roman" w:cs="Times New Roman"/>
              </w:rPr>
              <w:t>the University</w:t>
            </w:r>
            <w:r>
              <w:rPr>
                <w:rFonts w:ascii="Times New Roman" w:eastAsia="Times New Roman" w:hAnsi="Times New Roman" w:cs="Times New Roman"/>
                <w:highlight w:val="cyan"/>
              </w:rPr>
              <w:t>”</w:t>
            </w:r>
            <w:r>
              <w:rPr>
                <w:rFonts w:ascii="Times New Roman" w:eastAsia="Times New Roman" w:hAnsi="Times New Roman" w:cs="Times New Roman"/>
                <w:vertAlign w:val="superscript"/>
              </w:rPr>
              <w:t>9</w:t>
            </w:r>
            <w:r>
              <w:rPr>
                <w:rFonts w:ascii="Times New Roman" w:eastAsia="Times New Roman" w:hAnsi="Times New Roman" w:cs="Times New Roman"/>
              </w:rPr>
              <w:t>) formulates</w:t>
            </w:r>
            <w:r>
              <w:rPr>
                <w:rFonts w:ascii="Times New Roman" w:eastAsia="Times New Roman" w:hAnsi="Times New Roman" w:cs="Times New Roman"/>
                <w:vertAlign w:val="superscript"/>
              </w:rPr>
              <w:t>4</w:t>
            </w:r>
            <w:r>
              <w:rPr>
                <w:rFonts w:ascii="Times New Roman" w:eastAsia="Times New Roman" w:hAnsi="Times New Roman" w:cs="Times New Roman"/>
              </w:rPr>
              <w:t xml:space="preserve"> the NTU </w:t>
            </w:r>
            <w:r>
              <w:rPr>
                <w:rFonts w:ascii="Times New Roman" w:eastAsia="Times New Roman" w:hAnsi="Times New Roman" w:cs="Times New Roman"/>
                <w:i/>
              </w:rPr>
              <w:t xml:space="preserve">OO </w:t>
            </w:r>
            <w:r>
              <w:rPr>
                <w:rFonts w:ascii="Times New Roman" w:eastAsia="Times New Roman" w:hAnsi="Times New Roman" w:cs="Times New Roman"/>
              </w:rPr>
              <w:t>(</w:t>
            </w:r>
            <w:r>
              <w:rPr>
                <w:rFonts w:ascii="Times New Roman" w:eastAsia="Times New Roman" w:hAnsi="Times New Roman" w:cs="Times New Roman"/>
                <w:highlight w:val="cyan"/>
              </w:rPr>
              <w:t>“</w:t>
            </w:r>
            <w:r>
              <w:rPr>
                <w:rFonts w:ascii="Times New Roman" w:eastAsia="Times New Roman" w:hAnsi="Times New Roman" w:cs="Times New Roman"/>
              </w:rPr>
              <w:t>the OO</w:t>
            </w:r>
            <w:r>
              <w:rPr>
                <w:rFonts w:ascii="Times New Roman" w:eastAsia="Times New Roman" w:hAnsi="Times New Roman" w:cs="Times New Roman"/>
                <w:highlight w:val="cyan"/>
              </w:rPr>
              <w:t>”</w:t>
            </w:r>
            <w:r>
              <w:rPr>
                <w:rFonts w:ascii="Times New Roman" w:eastAsia="Times New Roman" w:hAnsi="Times New Roman" w:cs="Times New Roman"/>
              </w:rPr>
              <w:t>)</w:t>
            </w:r>
            <w:sdt>
              <w:sdtPr>
                <w:tag w:val="goog_rdk_30"/>
                <w:id w:val="-1030952882"/>
              </w:sdtPr>
              <w:sdtEndPr/>
              <w:sdtContent>
                <w:r>
                  <w:rPr>
                    <w:rFonts w:ascii="Gungsuh" w:eastAsia="Gungsuh" w:hAnsi="Gungsuh" w:cs="Gungsuh"/>
                    <w:vertAlign w:val="superscript"/>
                  </w:rPr>
                  <w:t>2、3</w:t>
                </w:r>
              </w:sdtContent>
            </w:sdt>
            <w:r>
              <w:rPr>
                <w:rFonts w:ascii="Times New Roman" w:eastAsia="Times New Roman" w:hAnsi="Times New Roman" w:cs="Times New Roman"/>
              </w:rPr>
              <w:t xml:space="preserve"> in accordance with Article OO</w:t>
            </w:r>
            <w:r>
              <w:rPr>
                <w:rFonts w:ascii="Times New Roman" w:eastAsia="Times New Roman" w:hAnsi="Times New Roman" w:cs="Times New Roman"/>
                <w:vertAlign w:val="superscript"/>
              </w:rPr>
              <w:t>6</w:t>
            </w:r>
            <w:r>
              <w:rPr>
                <w:rFonts w:ascii="Times New Roman" w:eastAsia="Times New Roman" w:hAnsi="Times New Roman" w:cs="Times New Roman"/>
              </w:rPr>
              <w:t xml:space="preserve"> of the NTU </w:t>
            </w:r>
            <w:r>
              <w:rPr>
                <w:rFonts w:ascii="Times New Roman" w:eastAsia="Times New Roman" w:hAnsi="Times New Roman" w:cs="Times New Roman"/>
                <w:i/>
              </w:rPr>
              <w:t>OO</w:t>
            </w:r>
            <w:r>
              <w:rPr>
                <w:rFonts w:ascii="Times New Roman" w:eastAsia="Times New Roman" w:hAnsi="Times New Roman" w:cs="Times New Roman"/>
                <w:i/>
                <w:vertAlign w:val="superscript"/>
              </w:rPr>
              <w:t>7</w:t>
            </w:r>
            <w:r>
              <w:rPr>
                <w:rFonts w:ascii="Times New Roman" w:eastAsia="Times New Roman" w:hAnsi="Times New Roman" w:cs="Times New Roman"/>
                <w:i/>
              </w:rPr>
              <w:t>.</w:t>
            </w:r>
          </w:p>
        </w:tc>
        <w:tc>
          <w:tcPr>
            <w:tcW w:w="6015" w:type="dxa"/>
            <w:tcBorders>
              <w:top w:val="single" w:sz="4" w:space="0" w:color="000000"/>
              <w:left w:val="nil"/>
              <w:bottom w:val="single" w:sz="4" w:space="0" w:color="000000"/>
              <w:right w:val="single" w:sz="4" w:space="0" w:color="000000"/>
            </w:tcBorders>
            <w:shd w:val="clear" w:color="auto" w:fill="D9D9D9"/>
          </w:tcPr>
          <w:p w:rsidR="00903465" w:rsidRDefault="002A0530">
            <w:pPr>
              <w:widowControl/>
            </w:pPr>
            <w:r>
              <w:rPr>
                <w:rFonts w:ascii="Times New Roman" w:eastAsia="Times New Roman" w:hAnsi="Times New Roman" w:cs="Times New Roman"/>
              </w:rPr>
              <w:t xml:space="preserve">National Taiwan University (NTU) formulates the NTU </w:t>
            </w:r>
            <w:r>
              <w:rPr>
                <w:rFonts w:ascii="Times New Roman" w:eastAsia="Times New Roman" w:hAnsi="Times New Roman" w:cs="Times New Roman"/>
                <w:i/>
              </w:rPr>
              <w:t>Specific Rules for Conducting the Student Survey for the Selection of Faculty Members to Receive Teaching Awards</w:t>
            </w:r>
            <w:r>
              <w:rPr>
                <w:rFonts w:ascii="Times New Roman" w:eastAsia="Times New Roman" w:hAnsi="Times New Roman" w:cs="Times New Roman"/>
              </w:rPr>
              <w:t xml:space="preserve"> (</w:t>
            </w:r>
            <w:r>
              <w:rPr>
                <w:rFonts w:ascii="Times New Roman" w:eastAsia="Times New Roman" w:hAnsi="Times New Roman" w:cs="Times New Roman"/>
                <w:highlight w:val="cyan"/>
              </w:rPr>
              <w:t>“</w:t>
            </w:r>
            <w:r>
              <w:rPr>
                <w:rFonts w:ascii="Times New Roman" w:eastAsia="Times New Roman" w:hAnsi="Times New Roman" w:cs="Times New Roman"/>
              </w:rPr>
              <w:t>the Specific Rules</w:t>
            </w:r>
            <w:r>
              <w:rPr>
                <w:rFonts w:ascii="Times New Roman" w:eastAsia="Times New Roman" w:hAnsi="Times New Roman" w:cs="Times New Roman"/>
                <w:highlight w:val="cyan"/>
              </w:rPr>
              <w:t>”</w:t>
            </w:r>
            <w:r>
              <w:rPr>
                <w:rFonts w:ascii="Times New Roman" w:eastAsia="Times New Roman" w:hAnsi="Times New Roman" w:cs="Times New Roman"/>
              </w:rPr>
              <w:t>) in accordance with Article 8 of the</w:t>
            </w:r>
            <w:r>
              <w:rPr>
                <w:rFonts w:ascii="Times New Roman" w:eastAsia="Times New Roman" w:hAnsi="Times New Roman" w:cs="Times New Roman"/>
                <w:i/>
              </w:rPr>
              <w:t xml:space="preserve"> </w:t>
            </w:r>
            <w:r>
              <w:rPr>
                <w:rFonts w:ascii="Times New Roman" w:eastAsia="Times New Roman" w:hAnsi="Times New Roman" w:cs="Times New Roman"/>
              </w:rPr>
              <w:t>NTU</w:t>
            </w:r>
            <w:r>
              <w:rPr>
                <w:rFonts w:ascii="Times New Roman" w:eastAsia="Times New Roman" w:hAnsi="Times New Roman" w:cs="Times New Roman"/>
                <w:i/>
              </w:rPr>
              <w:t xml:space="preserve"> Regulations for the Selection of Faculty Members to Receive Teaching Awards.</w:t>
            </w:r>
          </w:p>
        </w:tc>
      </w:tr>
      <w:tr w:rsidR="00903465">
        <w:trPr>
          <w:trHeight w:val="1500"/>
        </w:trPr>
        <w:tc>
          <w:tcPr>
            <w:tcW w:w="846" w:type="dxa"/>
            <w:vMerge/>
          </w:tcPr>
          <w:p w:rsidR="00903465" w:rsidRDefault="00903465">
            <w:pPr>
              <w:widowControl/>
              <w:jc w:val="center"/>
            </w:pPr>
          </w:p>
        </w:tc>
        <w:tc>
          <w:tcPr>
            <w:tcW w:w="1559" w:type="dxa"/>
            <w:vMerge/>
          </w:tcPr>
          <w:p w:rsidR="00903465" w:rsidRDefault="00903465">
            <w:pPr>
              <w:widowControl/>
              <w:pBdr>
                <w:top w:val="nil"/>
                <w:left w:val="nil"/>
                <w:bottom w:val="nil"/>
                <w:right w:val="nil"/>
                <w:between w:val="nil"/>
              </w:pBdr>
              <w:jc w:val="center"/>
            </w:pP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903465" w:rsidRDefault="002A0530">
            <w:pPr>
              <w:widowControl/>
              <w:pBdr>
                <w:top w:val="nil"/>
                <w:left w:val="nil"/>
                <w:bottom w:val="nil"/>
                <w:right w:val="nil"/>
                <w:between w:val="nil"/>
              </w:pBdr>
            </w:pPr>
            <w:r>
              <w:t>本校</w:t>
            </w:r>
            <w:r>
              <w:t>/</w:t>
            </w:r>
            <w:r>
              <w:t>國立臺灣大學</w:t>
            </w:r>
            <w:r>
              <w:t>(</w:t>
            </w:r>
            <w:r>
              <w:t>下稱本校</w:t>
            </w:r>
            <w:r>
              <w:t>)</w:t>
            </w:r>
            <w:r>
              <w:rPr>
                <w:rFonts w:ascii="Times New Roman" w:eastAsia="Times New Roman" w:hAnsi="Times New Roman" w:cs="Times New Roman"/>
                <w:vertAlign w:val="superscript"/>
              </w:rPr>
              <w:t>8</w:t>
            </w:r>
            <w:r>
              <w:t>依</w:t>
            </w:r>
            <w:r>
              <w:t>OO</w:t>
            </w:r>
            <w:r>
              <w:t>法第</w:t>
            </w:r>
            <w:r>
              <w:t>OO</w:t>
            </w:r>
            <w:r>
              <w:t>條</w:t>
            </w:r>
            <w:r>
              <w:rPr>
                <w:rFonts w:ascii="Times New Roman" w:eastAsia="Times New Roman" w:hAnsi="Times New Roman" w:cs="Times New Roman"/>
                <w:vertAlign w:val="superscript"/>
              </w:rPr>
              <w:t>5</w:t>
            </w:r>
            <w:r>
              <w:t>規定，訂定國立臺灣大學</w:t>
            </w:r>
            <w:r>
              <w:t>OO(</w:t>
            </w:r>
            <w:r>
              <w:t>下稱本</w:t>
            </w:r>
            <w:r>
              <w:t>OO)/</w:t>
            </w:r>
            <w:r>
              <w:t>本</w:t>
            </w:r>
            <w:r>
              <w:t>OO</w:t>
            </w:r>
            <w:r>
              <w:rPr>
                <w:rFonts w:ascii="Times New Roman" w:eastAsia="Times New Roman" w:hAnsi="Times New Roman" w:cs="Times New Roman"/>
                <w:vertAlign w:val="superscript"/>
              </w:rPr>
              <w:t>1</w:t>
            </w:r>
            <w:r>
              <w:t>。</w:t>
            </w:r>
          </w:p>
        </w:tc>
        <w:tc>
          <w:tcPr>
            <w:tcW w:w="6015" w:type="dxa"/>
            <w:tcBorders>
              <w:top w:val="single" w:sz="4" w:space="0" w:color="000000"/>
              <w:left w:val="single" w:sz="4" w:space="0" w:color="000000"/>
              <w:bottom w:val="single" w:sz="4" w:space="0" w:color="000000"/>
              <w:right w:val="single" w:sz="4" w:space="0" w:color="000000"/>
            </w:tcBorders>
            <w:shd w:val="clear" w:color="auto" w:fill="auto"/>
          </w:tcPr>
          <w:p w:rsidR="00903465" w:rsidRDefault="002A0530">
            <w:pPr>
              <w:widowControl/>
              <w:pBdr>
                <w:top w:val="nil"/>
                <w:left w:val="nil"/>
                <w:bottom w:val="nil"/>
                <w:right w:val="nil"/>
                <w:between w:val="nil"/>
              </w:pBdr>
            </w:pPr>
            <w:r>
              <w:t>本校依大學法第三十六條規定，訂定國立臺灣大學組織規程</w:t>
            </w:r>
            <w:r>
              <w:t>(</w:t>
            </w:r>
            <w:r>
              <w:t>下稱本規程</w:t>
            </w:r>
            <w:r>
              <w:t>)</w:t>
            </w:r>
            <w:r>
              <w:t>。</w:t>
            </w:r>
          </w:p>
        </w:tc>
      </w:tr>
      <w:tr w:rsidR="00903465">
        <w:trPr>
          <w:trHeight w:val="2085"/>
        </w:trPr>
        <w:tc>
          <w:tcPr>
            <w:tcW w:w="846" w:type="dxa"/>
            <w:vMerge/>
          </w:tcPr>
          <w:p w:rsidR="00903465" w:rsidRDefault="00903465">
            <w:pPr>
              <w:pBdr>
                <w:top w:val="nil"/>
                <w:left w:val="nil"/>
                <w:bottom w:val="nil"/>
                <w:right w:val="nil"/>
                <w:between w:val="nil"/>
              </w:pBdr>
            </w:pPr>
          </w:p>
        </w:tc>
        <w:tc>
          <w:tcPr>
            <w:tcW w:w="1559" w:type="dxa"/>
            <w:vMerge/>
          </w:tcPr>
          <w:p w:rsidR="00903465" w:rsidRDefault="00903465">
            <w:pPr>
              <w:pBdr>
                <w:top w:val="nil"/>
                <w:left w:val="nil"/>
                <w:bottom w:val="nil"/>
                <w:right w:val="nil"/>
                <w:between w:val="nil"/>
              </w:pBdr>
            </w:pPr>
          </w:p>
        </w:tc>
        <w:tc>
          <w:tcPr>
            <w:tcW w:w="5528" w:type="dxa"/>
            <w:tcBorders>
              <w:top w:val="single" w:sz="4" w:space="0" w:color="000000"/>
              <w:left w:val="single" w:sz="4" w:space="0" w:color="000000"/>
              <w:bottom w:val="single" w:sz="4" w:space="0" w:color="000000"/>
              <w:right w:val="single" w:sz="4" w:space="0" w:color="000000"/>
            </w:tcBorders>
            <w:shd w:val="clear" w:color="auto" w:fill="D9D9D9"/>
          </w:tcPr>
          <w:p w:rsidR="00903465" w:rsidRDefault="002A0530">
            <w:pPr>
              <w:widowControl/>
            </w:pPr>
            <w:r>
              <w:rPr>
                <w:rFonts w:ascii="Times New Roman" w:eastAsia="Times New Roman" w:hAnsi="Times New Roman" w:cs="Times New Roman"/>
              </w:rPr>
              <w:t xml:space="preserve">National Taiwan University (NTU or </w:t>
            </w:r>
            <w:r>
              <w:rPr>
                <w:rFonts w:ascii="Times New Roman" w:eastAsia="Times New Roman" w:hAnsi="Times New Roman" w:cs="Times New Roman"/>
                <w:highlight w:val="cyan"/>
              </w:rPr>
              <w:t>“</w:t>
            </w:r>
            <w:r>
              <w:rPr>
                <w:rFonts w:ascii="Times New Roman" w:eastAsia="Times New Roman" w:hAnsi="Times New Roman" w:cs="Times New Roman"/>
              </w:rPr>
              <w:t>the University</w:t>
            </w:r>
            <w:r>
              <w:rPr>
                <w:rFonts w:ascii="Times New Roman" w:eastAsia="Times New Roman" w:hAnsi="Times New Roman" w:cs="Times New Roman"/>
                <w:highlight w:val="cyan"/>
              </w:rPr>
              <w:t>”</w:t>
            </w:r>
            <w:r>
              <w:rPr>
                <w:rFonts w:ascii="Times New Roman" w:eastAsia="Times New Roman" w:hAnsi="Times New Roman" w:cs="Times New Roman"/>
                <w:vertAlign w:val="superscript"/>
              </w:rPr>
              <w:t>9</w:t>
            </w:r>
            <w:r>
              <w:rPr>
                <w:rFonts w:ascii="Times New Roman" w:eastAsia="Times New Roman" w:hAnsi="Times New Roman" w:cs="Times New Roman"/>
              </w:rPr>
              <w:t>) establishes</w:t>
            </w:r>
            <w:r>
              <w:rPr>
                <w:rFonts w:ascii="Times New Roman" w:eastAsia="Times New Roman" w:hAnsi="Times New Roman" w:cs="Times New Roman"/>
                <w:vertAlign w:val="superscript"/>
              </w:rPr>
              <w:t>4</w:t>
            </w:r>
            <w:r>
              <w:rPr>
                <w:rFonts w:ascii="Times New Roman" w:eastAsia="Times New Roman" w:hAnsi="Times New Roman" w:cs="Times New Roman"/>
              </w:rPr>
              <w:t xml:space="preserve"> the NTU</w:t>
            </w:r>
            <w:r>
              <w:rPr>
                <w:rFonts w:ascii="Times New Roman" w:eastAsia="Times New Roman" w:hAnsi="Times New Roman" w:cs="Times New Roman"/>
                <w:i/>
              </w:rPr>
              <w:t xml:space="preserve"> OO </w:t>
            </w:r>
            <w:r>
              <w:rPr>
                <w:rFonts w:ascii="Times New Roman" w:eastAsia="Times New Roman" w:hAnsi="Times New Roman" w:cs="Times New Roman"/>
              </w:rPr>
              <w:t>(</w:t>
            </w:r>
            <w:r>
              <w:rPr>
                <w:rFonts w:ascii="Times New Roman" w:eastAsia="Times New Roman" w:hAnsi="Times New Roman" w:cs="Times New Roman"/>
                <w:highlight w:val="cyan"/>
              </w:rPr>
              <w:t>“</w:t>
            </w:r>
            <w:r>
              <w:rPr>
                <w:rFonts w:ascii="Times New Roman" w:eastAsia="Times New Roman" w:hAnsi="Times New Roman" w:cs="Times New Roman"/>
              </w:rPr>
              <w:t>the</w:t>
            </w:r>
            <w:r>
              <w:rPr>
                <w:rFonts w:ascii="Times New Roman" w:eastAsia="Times New Roman" w:hAnsi="Times New Roman" w:cs="Times New Roman"/>
                <w:i/>
              </w:rPr>
              <w:t xml:space="preserve"> </w:t>
            </w:r>
            <w:r>
              <w:rPr>
                <w:rFonts w:ascii="Times New Roman" w:eastAsia="Times New Roman" w:hAnsi="Times New Roman" w:cs="Times New Roman"/>
              </w:rPr>
              <w:t>OO</w:t>
            </w:r>
            <w:r>
              <w:rPr>
                <w:rFonts w:ascii="Times New Roman" w:eastAsia="Times New Roman" w:hAnsi="Times New Roman" w:cs="Times New Roman"/>
                <w:highlight w:val="cyan"/>
              </w:rPr>
              <w:t>”</w:t>
            </w:r>
            <w:r>
              <w:rPr>
                <w:rFonts w:ascii="Times New Roman" w:eastAsia="Times New Roman" w:hAnsi="Times New Roman" w:cs="Times New Roman"/>
              </w:rPr>
              <w:t>)</w:t>
            </w:r>
            <w:sdt>
              <w:sdtPr>
                <w:tag w:val="goog_rdk_31"/>
                <w:id w:val="1485812007"/>
              </w:sdtPr>
              <w:sdtEndPr/>
              <w:sdtContent>
                <w:r>
                  <w:rPr>
                    <w:rFonts w:ascii="Gungsuh" w:eastAsia="Gungsuh" w:hAnsi="Gungsuh" w:cs="Gungsuh"/>
                    <w:vertAlign w:val="superscript"/>
                  </w:rPr>
                  <w:t>2、3</w:t>
                </w:r>
              </w:sdtContent>
            </w:sdt>
            <w:r>
              <w:rPr>
                <w:rFonts w:ascii="Times New Roman" w:eastAsia="Times New Roman" w:hAnsi="Times New Roman" w:cs="Times New Roman"/>
              </w:rPr>
              <w:t xml:space="preserve"> in accordance with Article OO</w:t>
            </w:r>
            <w:r>
              <w:rPr>
                <w:rFonts w:ascii="Times New Roman" w:eastAsia="Times New Roman" w:hAnsi="Times New Roman" w:cs="Times New Roman"/>
                <w:vertAlign w:val="superscript"/>
              </w:rPr>
              <w:t>6</w:t>
            </w:r>
            <w:r>
              <w:rPr>
                <w:rFonts w:ascii="Times New Roman" w:eastAsia="Times New Roman" w:hAnsi="Times New Roman" w:cs="Times New Roman"/>
              </w:rPr>
              <w:t xml:space="preserve"> of </w:t>
            </w:r>
            <w:r>
              <w:rPr>
                <w:rFonts w:ascii="Times New Roman" w:eastAsia="Times New Roman" w:hAnsi="Times New Roman" w:cs="Times New Roman"/>
                <w:i/>
              </w:rPr>
              <w:t>the OO Act</w:t>
            </w:r>
            <w:r>
              <w:rPr>
                <w:rFonts w:ascii="Times New Roman" w:eastAsia="Times New Roman" w:hAnsi="Times New Roman" w:cs="Times New Roman"/>
                <w:i/>
                <w:vertAlign w:val="superscript"/>
              </w:rPr>
              <w:t>7</w:t>
            </w:r>
            <w:r>
              <w:rPr>
                <w:rFonts w:ascii="Times New Roman" w:eastAsia="Times New Roman" w:hAnsi="Times New Roman" w:cs="Times New Roman"/>
                <w:i/>
              </w:rPr>
              <w:t xml:space="preserve"> </w:t>
            </w:r>
            <w:r>
              <w:rPr>
                <w:rFonts w:ascii="Times New Roman" w:eastAsia="Times New Roman" w:hAnsi="Times New Roman" w:cs="Times New Roman"/>
              </w:rPr>
              <w:t>.</w:t>
            </w:r>
          </w:p>
        </w:tc>
        <w:tc>
          <w:tcPr>
            <w:tcW w:w="6015" w:type="dxa"/>
            <w:tcBorders>
              <w:top w:val="single" w:sz="4" w:space="0" w:color="000000"/>
              <w:left w:val="nil"/>
              <w:bottom w:val="single" w:sz="4" w:space="0" w:color="000000"/>
              <w:right w:val="single" w:sz="4" w:space="0" w:color="000000"/>
            </w:tcBorders>
            <w:shd w:val="clear" w:color="auto" w:fill="D9D9D9"/>
          </w:tcPr>
          <w:p w:rsidR="00903465" w:rsidRDefault="002A0530">
            <w:pPr>
              <w:widowControl/>
            </w:pPr>
            <w:r>
              <w:rPr>
                <w:rFonts w:ascii="Times New Roman" w:eastAsia="Times New Roman" w:hAnsi="Times New Roman" w:cs="Times New Roman"/>
              </w:rPr>
              <w:t xml:space="preserve">National Taiwan University (NTU or </w:t>
            </w:r>
            <w:r>
              <w:rPr>
                <w:rFonts w:ascii="Times New Roman" w:eastAsia="Times New Roman" w:hAnsi="Times New Roman" w:cs="Times New Roman"/>
                <w:highlight w:val="cyan"/>
              </w:rPr>
              <w:t>“</w:t>
            </w:r>
            <w:r>
              <w:rPr>
                <w:rFonts w:ascii="Times New Roman" w:eastAsia="Times New Roman" w:hAnsi="Times New Roman" w:cs="Times New Roman"/>
              </w:rPr>
              <w:t>the University</w:t>
            </w:r>
            <w:r>
              <w:rPr>
                <w:rFonts w:ascii="Times New Roman" w:eastAsia="Times New Roman" w:hAnsi="Times New Roman" w:cs="Times New Roman"/>
                <w:highlight w:val="cyan"/>
              </w:rPr>
              <w:t>”</w:t>
            </w:r>
            <w:r>
              <w:rPr>
                <w:rFonts w:ascii="Times New Roman" w:eastAsia="Times New Roman" w:hAnsi="Times New Roman" w:cs="Times New Roman"/>
              </w:rPr>
              <w:t xml:space="preserve">) establishes the NTU </w:t>
            </w:r>
            <w:r>
              <w:rPr>
                <w:rFonts w:ascii="Times New Roman" w:eastAsia="Times New Roman" w:hAnsi="Times New Roman" w:cs="Times New Roman"/>
                <w:i/>
              </w:rPr>
              <w:t xml:space="preserve">Organization Regulations </w:t>
            </w:r>
            <w:r>
              <w:rPr>
                <w:rFonts w:ascii="Times New Roman" w:eastAsia="Times New Roman" w:hAnsi="Times New Roman" w:cs="Times New Roman"/>
              </w:rPr>
              <w:t>(</w:t>
            </w:r>
            <w:r>
              <w:rPr>
                <w:rFonts w:ascii="Times New Roman" w:eastAsia="Times New Roman" w:hAnsi="Times New Roman" w:cs="Times New Roman"/>
                <w:highlight w:val="cyan"/>
              </w:rPr>
              <w:t>“</w:t>
            </w:r>
            <w:r>
              <w:rPr>
                <w:rFonts w:ascii="Times New Roman" w:eastAsia="Times New Roman" w:hAnsi="Times New Roman" w:cs="Times New Roman"/>
              </w:rPr>
              <w:t>the Regulations</w:t>
            </w:r>
            <w:r>
              <w:rPr>
                <w:rFonts w:ascii="Times New Roman" w:eastAsia="Times New Roman" w:hAnsi="Times New Roman" w:cs="Times New Roman"/>
                <w:highlight w:val="cyan"/>
              </w:rPr>
              <w:t>”</w:t>
            </w:r>
            <w:r>
              <w:rPr>
                <w:rFonts w:ascii="Times New Roman" w:eastAsia="Times New Roman" w:hAnsi="Times New Roman" w:cs="Times New Roman"/>
              </w:rPr>
              <w:t xml:space="preserve">) in accordance with Article 36 of the </w:t>
            </w:r>
            <w:r>
              <w:rPr>
                <w:rFonts w:ascii="Times New Roman" w:eastAsia="Times New Roman" w:hAnsi="Times New Roman" w:cs="Times New Roman"/>
                <w:i/>
              </w:rPr>
              <w:t>University Act</w:t>
            </w:r>
            <w:r>
              <w:rPr>
                <w:rFonts w:ascii="Times New Roman" w:eastAsia="Times New Roman" w:hAnsi="Times New Roman" w:cs="Times New Roman"/>
              </w:rPr>
              <w:t>.</w:t>
            </w:r>
          </w:p>
        </w:tc>
      </w:tr>
    </w:tbl>
    <w:p w:rsidR="00903465" w:rsidRDefault="002A0530">
      <w:r>
        <w:br w:type="page"/>
      </w:r>
    </w:p>
    <w:tbl>
      <w:tblPr>
        <w:tblStyle w:val="afd"/>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559"/>
        <w:gridCol w:w="5528"/>
        <w:gridCol w:w="6015"/>
      </w:tblGrid>
      <w:tr w:rsidR="00903465">
        <w:tc>
          <w:tcPr>
            <w:tcW w:w="846" w:type="dxa"/>
            <w:shd w:val="clear" w:color="auto" w:fill="D0CECE"/>
          </w:tcPr>
          <w:p w:rsidR="00903465" w:rsidRDefault="002A0530">
            <w:pPr>
              <w:widowControl/>
              <w:jc w:val="center"/>
            </w:pPr>
            <w:r>
              <w:lastRenderedPageBreak/>
              <w:t>樣態</w:t>
            </w:r>
          </w:p>
        </w:tc>
        <w:tc>
          <w:tcPr>
            <w:tcW w:w="1559" w:type="dxa"/>
            <w:shd w:val="clear" w:color="auto" w:fill="D0CECE"/>
          </w:tcPr>
          <w:p w:rsidR="00903465" w:rsidRDefault="002A0530">
            <w:pPr>
              <w:widowControl/>
              <w:jc w:val="center"/>
            </w:pPr>
            <w:r>
              <w:t>句型結構</w:t>
            </w:r>
          </w:p>
        </w:tc>
        <w:tc>
          <w:tcPr>
            <w:tcW w:w="5528" w:type="dxa"/>
            <w:shd w:val="clear" w:color="auto" w:fill="D0CECE"/>
          </w:tcPr>
          <w:p w:rsidR="00903465" w:rsidRDefault="002A0530">
            <w:pPr>
              <w:widowControl/>
              <w:jc w:val="center"/>
            </w:pPr>
            <w:r>
              <w:t>首條格式</w:t>
            </w:r>
          </w:p>
        </w:tc>
        <w:tc>
          <w:tcPr>
            <w:tcW w:w="6015" w:type="dxa"/>
            <w:shd w:val="clear" w:color="auto" w:fill="D0CECE"/>
          </w:tcPr>
          <w:p w:rsidR="00903465" w:rsidRDefault="002A0530">
            <w:pPr>
              <w:widowControl/>
              <w:jc w:val="center"/>
            </w:pPr>
            <w:r>
              <w:t>首條範例</w:t>
            </w:r>
          </w:p>
        </w:tc>
      </w:tr>
      <w:tr w:rsidR="00903465">
        <w:trPr>
          <w:trHeight w:val="1860"/>
        </w:trPr>
        <w:tc>
          <w:tcPr>
            <w:tcW w:w="846" w:type="dxa"/>
            <w:vMerge w:val="restart"/>
          </w:tcPr>
          <w:p w:rsidR="00903465" w:rsidRDefault="002A0530">
            <w:pPr>
              <w:widowControl/>
              <w:jc w:val="center"/>
            </w:pPr>
            <w:r>
              <w:t>6</w:t>
            </w:r>
          </w:p>
        </w:tc>
        <w:tc>
          <w:tcPr>
            <w:tcW w:w="1559" w:type="dxa"/>
            <w:vMerge w:val="restart"/>
          </w:tcPr>
          <w:p w:rsidR="00903465" w:rsidRDefault="002A0530">
            <w:pPr>
              <w:widowControl/>
              <w:jc w:val="center"/>
            </w:pPr>
            <w:r>
              <w:t>訂定主體及法源依據（二種以上）</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903465" w:rsidRDefault="006765CC">
            <w:pPr>
              <w:widowControl/>
            </w:pPr>
            <w:sdt>
              <w:sdtPr>
                <w:tag w:val="goog_rdk_32"/>
                <w:id w:val="-1882468414"/>
              </w:sdtPr>
              <w:sdtEndPr/>
              <w:sdtContent>
                <w:r w:rsidR="002A0530">
                  <w:rPr>
                    <w:rFonts w:ascii="Gungsuh" w:eastAsia="Gungsuh" w:hAnsi="Gungsuh" w:cs="Gungsuh"/>
                  </w:rPr>
                  <w:t>本校/國立臺灣大學(下稱本校)</w:t>
                </w:r>
              </w:sdtContent>
            </w:sdt>
            <w:r w:rsidR="002A0530">
              <w:rPr>
                <w:rFonts w:ascii="Times New Roman" w:eastAsia="Times New Roman" w:hAnsi="Times New Roman" w:cs="Times New Roman"/>
                <w:vertAlign w:val="superscript"/>
              </w:rPr>
              <w:t>8</w:t>
            </w:r>
            <w:sdt>
              <w:sdtPr>
                <w:tag w:val="goog_rdk_33"/>
                <w:id w:val="-1197002431"/>
              </w:sdtPr>
              <w:sdtEndPr/>
              <w:sdtContent>
                <w:r w:rsidR="002A0530">
                  <w:rPr>
                    <w:rFonts w:ascii="Gungsuh" w:eastAsia="Gungsuh" w:hAnsi="Gungsuh" w:cs="Gungsuh"/>
                  </w:rPr>
                  <w:t>依OO法及其施行細則、OO法規定，訂定國立臺灣大學OO(下稱本OO)</w:t>
                </w:r>
              </w:sdtContent>
            </w:sdt>
            <w:r w:rsidR="002A0530">
              <w:rPr>
                <w:rFonts w:ascii="Times New Roman" w:eastAsia="Times New Roman" w:hAnsi="Times New Roman" w:cs="Times New Roman"/>
                <w:vertAlign w:val="superscript"/>
              </w:rPr>
              <w:t>1</w:t>
            </w:r>
            <w:r w:rsidR="002A0530">
              <w:rPr>
                <w:rFonts w:ascii="Times New Roman" w:eastAsia="Times New Roman" w:hAnsi="Times New Roman" w:cs="Times New Roman"/>
              </w:rPr>
              <w:t xml:space="preserve"> </w:t>
            </w:r>
            <w:sdt>
              <w:sdtPr>
                <w:tag w:val="goog_rdk_34"/>
                <w:id w:val="-896121506"/>
              </w:sdtPr>
              <w:sdtEndPr/>
              <w:sdtContent>
                <w:r w:rsidR="002A0530">
                  <w:rPr>
                    <w:rFonts w:ascii="Gungsuh" w:eastAsia="Gungsuh" w:hAnsi="Gungsuh" w:cs="Gungsuh"/>
                  </w:rPr>
                  <w:t>/本OO</w:t>
                </w:r>
              </w:sdtContent>
            </w:sdt>
            <w:sdt>
              <w:sdtPr>
                <w:tag w:val="goog_rdk_35"/>
                <w:id w:val="-2021843798"/>
              </w:sdtPr>
              <w:sdtEndPr/>
              <w:sdtContent>
                <w:r w:rsidR="002A0530">
                  <w:rPr>
                    <w:rFonts w:ascii="Gungsuh" w:eastAsia="Gungsuh" w:hAnsi="Gungsuh" w:cs="Gungsuh"/>
                  </w:rPr>
                  <w:t>。</w:t>
                </w:r>
              </w:sdtContent>
            </w:sdt>
          </w:p>
        </w:tc>
        <w:tc>
          <w:tcPr>
            <w:tcW w:w="6015" w:type="dxa"/>
            <w:tcBorders>
              <w:top w:val="single" w:sz="4" w:space="0" w:color="000000"/>
              <w:left w:val="nil"/>
              <w:bottom w:val="single" w:sz="4" w:space="0" w:color="000000"/>
              <w:right w:val="single" w:sz="4" w:space="0" w:color="000000"/>
            </w:tcBorders>
            <w:shd w:val="clear" w:color="auto" w:fill="auto"/>
          </w:tcPr>
          <w:p w:rsidR="00903465" w:rsidRDefault="006765CC">
            <w:pPr>
              <w:widowControl/>
            </w:pPr>
            <w:sdt>
              <w:sdtPr>
                <w:tag w:val="goog_rdk_36"/>
                <w:id w:val="-64648414"/>
              </w:sdtPr>
              <w:sdtEndPr/>
              <w:sdtContent>
                <w:r w:rsidR="002A0530">
                  <w:rPr>
                    <w:rFonts w:ascii="Gungsuh" w:eastAsia="Gungsuh" w:hAnsi="Gungsuh" w:cs="Gungsuh"/>
                  </w:rPr>
                  <w:t>國立臺灣大學依大學法及其施行細則、學位授予法規定，訂定本學則。</w:t>
                </w:r>
              </w:sdtContent>
            </w:sdt>
          </w:p>
        </w:tc>
      </w:tr>
      <w:tr w:rsidR="00903465">
        <w:trPr>
          <w:trHeight w:val="1860"/>
        </w:trPr>
        <w:tc>
          <w:tcPr>
            <w:tcW w:w="846" w:type="dxa"/>
            <w:vMerge/>
          </w:tcPr>
          <w:p w:rsidR="00903465" w:rsidRDefault="00903465">
            <w:pPr>
              <w:pBdr>
                <w:top w:val="nil"/>
                <w:left w:val="nil"/>
                <w:bottom w:val="nil"/>
                <w:right w:val="nil"/>
                <w:between w:val="nil"/>
              </w:pBdr>
              <w:spacing w:line="276" w:lineRule="auto"/>
            </w:pPr>
          </w:p>
        </w:tc>
        <w:tc>
          <w:tcPr>
            <w:tcW w:w="1559" w:type="dxa"/>
            <w:vMerge/>
          </w:tcPr>
          <w:p w:rsidR="00903465" w:rsidRDefault="00903465">
            <w:pPr>
              <w:pBdr>
                <w:top w:val="nil"/>
                <w:left w:val="nil"/>
                <w:bottom w:val="nil"/>
                <w:right w:val="nil"/>
                <w:between w:val="nil"/>
              </w:pBdr>
              <w:spacing w:line="276" w:lineRule="auto"/>
            </w:pPr>
          </w:p>
        </w:tc>
        <w:tc>
          <w:tcPr>
            <w:tcW w:w="5528" w:type="dxa"/>
            <w:tcBorders>
              <w:top w:val="single" w:sz="4" w:space="0" w:color="000000"/>
              <w:left w:val="single" w:sz="4" w:space="0" w:color="000000"/>
              <w:bottom w:val="single" w:sz="4" w:space="0" w:color="000000"/>
              <w:right w:val="single" w:sz="4" w:space="0" w:color="000000"/>
            </w:tcBorders>
            <w:shd w:val="clear" w:color="auto" w:fill="D9D9D9"/>
          </w:tcPr>
          <w:p w:rsidR="00903465" w:rsidRDefault="002A0530">
            <w:pPr>
              <w:widowControl/>
            </w:pPr>
            <w:r>
              <w:rPr>
                <w:rFonts w:ascii="Times New Roman" w:eastAsia="Times New Roman" w:hAnsi="Times New Roman" w:cs="Times New Roman"/>
              </w:rPr>
              <w:t>National Taiwan University (</w:t>
            </w:r>
            <w:r>
              <w:rPr>
                <w:rFonts w:ascii="Times New Roman" w:eastAsia="Times New Roman" w:hAnsi="Times New Roman" w:cs="Times New Roman"/>
                <w:highlight w:val="cyan"/>
              </w:rPr>
              <w:t>“</w:t>
            </w:r>
            <w:r>
              <w:rPr>
                <w:rFonts w:ascii="Times New Roman" w:eastAsia="Times New Roman" w:hAnsi="Times New Roman" w:cs="Times New Roman"/>
              </w:rPr>
              <w:t>the University</w:t>
            </w:r>
            <w:r>
              <w:rPr>
                <w:rFonts w:ascii="Times New Roman" w:eastAsia="Times New Roman" w:hAnsi="Times New Roman" w:cs="Times New Roman"/>
                <w:highlight w:val="cyan"/>
              </w:rPr>
              <w:t>”</w:t>
            </w:r>
            <w:r>
              <w:rPr>
                <w:rFonts w:ascii="Times New Roman" w:eastAsia="Times New Roman" w:hAnsi="Times New Roman" w:cs="Times New Roman"/>
                <w:vertAlign w:val="superscript"/>
              </w:rPr>
              <w:t>9</w:t>
            </w:r>
            <w:r>
              <w:rPr>
                <w:rFonts w:ascii="Times New Roman" w:eastAsia="Times New Roman" w:hAnsi="Times New Roman" w:cs="Times New Roman"/>
              </w:rPr>
              <w:t>) formulates</w:t>
            </w:r>
            <w:r>
              <w:rPr>
                <w:rFonts w:ascii="Times New Roman" w:eastAsia="Times New Roman" w:hAnsi="Times New Roman" w:cs="Times New Roman"/>
                <w:vertAlign w:val="superscript"/>
              </w:rPr>
              <w:t>4</w:t>
            </w:r>
            <w:r>
              <w:rPr>
                <w:rFonts w:ascii="Times New Roman" w:eastAsia="Times New Roman" w:hAnsi="Times New Roman" w:cs="Times New Roman"/>
              </w:rPr>
              <w:t xml:space="preserve"> the NTU </w:t>
            </w:r>
            <w:r>
              <w:rPr>
                <w:rFonts w:ascii="Times New Roman" w:eastAsia="Times New Roman" w:hAnsi="Times New Roman" w:cs="Times New Roman"/>
                <w:i/>
              </w:rPr>
              <w:t xml:space="preserve">OO </w:t>
            </w:r>
            <w:r>
              <w:rPr>
                <w:rFonts w:ascii="Times New Roman" w:eastAsia="Times New Roman" w:hAnsi="Times New Roman" w:cs="Times New Roman"/>
              </w:rPr>
              <w:t>(</w:t>
            </w:r>
            <w:r>
              <w:rPr>
                <w:rFonts w:ascii="Times New Roman" w:eastAsia="Times New Roman" w:hAnsi="Times New Roman" w:cs="Times New Roman"/>
                <w:highlight w:val="cyan"/>
              </w:rPr>
              <w:t>“</w:t>
            </w:r>
            <w:r>
              <w:rPr>
                <w:rFonts w:ascii="Times New Roman" w:eastAsia="Times New Roman" w:hAnsi="Times New Roman" w:cs="Times New Roman"/>
              </w:rPr>
              <w:t>the OO</w:t>
            </w:r>
            <w:r>
              <w:rPr>
                <w:rFonts w:ascii="Times New Roman" w:eastAsia="Times New Roman" w:hAnsi="Times New Roman" w:cs="Times New Roman"/>
                <w:highlight w:val="cyan"/>
              </w:rPr>
              <w:t>”</w:t>
            </w:r>
            <w:r>
              <w:rPr>
                <w:rFonts w:ascii="Times New Roman" w:eastAsia="Times New Roman" w:hAnsi="Times New Roman" w:cs="Times New Roman"/>
              </w:rPr>
              <w:t>)</w:t>
            </w:r>
            <w:sdt>
              <w:sdtPr>
                <w:tag w:val="goog_rdk_37"/>
                <w:id w:val="-298843306"/>
              </w:sdtPr>
              <w:sdtEndPr/>
              <w:sdtContent>
                <w:r>
                  <w:rPr>
                    <w:rFonts w:ascii="Gungsuh" w:eastAsia="Gungsuh" w:hAnsi="Gungsuh" w:cs="Gungsuh"/>
                    <w:vertAlign w:val="superscript"/>
                  </w:rPr>
                  <w:t>2、3</w:t>
                </w:r>
              </w:sdtContent>
            </w:sdt>
            <w:r>
              <w:rPr>
                <w:rFonts w:ascii="Times New Roman" w:eastAsia="Times New Roman" w:hAnsi="Times New Roman" w:cs="Times New Roman"/>
              </w:rPr>
              <w:t xml:space="preserve"> in accordance with the</w:t>
            </w:r>
            <w:r>
              <w:rPr>
                <w:rFonts w:ascii="Times New Roman" w:eastAsia="Times New Roman" w:hAnsi="Times New Roman" w:cs="Times New Roman"/>
                <w:i/>
              </w:rPr>
              <w:t xml:space="preserve"> OO Act</w:t>
            </w:r>
            <w:r>
              <w:rPr>
                <w:rFonts w:ascii="Times New Roman" w:eastAsia="Times New Roman" w:hAnsi="Times New Roman" w:cs="Times New Roman"/>
                <w:i/>
                <w:vertAlign w:val="superscript"/>
              </w:rPr>
              <w:t>7</w:t>
            </w:r>
            <w:r>
              <w:rPr>
                <w:rFonts w:ascii="Times New Roman" w:eastAsia="Times New Roman" w:hAnsi="Times New Roman" w:cs="Times New Roman"/>
                <w:i/>
              </w:rPr>
              <w:t>,</w:t>
            </w:r>
            <w:r>
              <w:rPr>
                <w:rFonts w:ascii="Times New Roman" w:eastAsia="Times New Roman" w:hAnsi="Times New Roman" w:cs="Times New Roman"/>
              </w:rPr>
              <w:t xml:space="preserve"> the</w:t>
            </w:r>
            <w:r>
              <w:rPr>
                <w:rFonts w:ascii="Times New Roman" w:eastAsia="Times New Roman" w:hAnsi="Times New Roman" w:cs="Times New Roman"/>
                <w:i/>
              </w:rPr>
              <w:t xml:space="preserve"> Enforcement Rules of OO Act, </w:t>
            </w:r>
            <w:r>
              <w:rPr>
                <w:rFonts w:ascii="Times New Roman" w:eastAsia="Times New Roman" w:hAnsi="Times New Roman" w:cs="Times New Roman"/>
              </w:rPr>
              <w:t>and the</w:t>
            </w:r>
            <w:r>
              <w:rPr>
                <w:rFonts w:ascii="Times New Roman" w:eastAsia="Times New Roman" w:hAnsi="Times New Roman" w:cs="Times New Roman"/>
                <w:i/>
              </w:rPr>
              <w:t xml:space="preserve"> OO Act.</w:t>
            </w:r>
          </w:p>
        </w:tc>
        <w:tc>
          <w:tcPr>
            <w:tcW w:w="6015" w:type="dxa"/>
            <w:tcBorders>
              <w:top w:val="single" w:sz="4" w:space="0" w:color="000000"/>
              <w:left w:val="nil"/>
              <w:bottom w:val="single" w:sz="4" w:space="0" w:color="000000"/>
              <w:right w:val="single" w:sz="4" w:space="0" w:color="000000"/>
            </w:tcBorders>
            <w:shd w:val="clear" w:color="auto" w:fill="D9D9D9"/>
          </w:tcPr>
          <w:p w:rsidR="00903465" w:rsidRDefault="002A0530">
            <w:pPr>
              <w:spacing w:after="60"/>
              <w:jc w:val="both"/>
            </w:pPr>
            <w:r>
              <w:rPr>
                <w:rFonts w:ascii="Times New Roman" w:eastAsia="Times New Roman" w:hAnsi="Times New Roman" w:cs="Times New Roman"/>
              </w:rPr>
              <w:t>National Taiwan University (</w:t>
            </w:r>
            <w:r>
              <w:rPr>
                <w:rFonts w:ascii="Times New Roman" w:eastAsia="Times New Roman" w:hAnsi="Times New Roman" w:cs="Times New Roman"/>
                <w:highlight w:val="cyan"/>
              </w:rPr>
              <w:t>“</w:t>
            </w:r>
            <w:r>
              <w:rPr>
                <w:rFonts w:ascii="Times New Roman" w:eastAsia="Times New Roman" w:hAnsi="Times New Roman" w:cs="Times New Roman"/>
              </w:rPr>
              <w:t>the University</w:t>
            </w:r>
            <w:r>
              <w:rPr>
                <w:rFonts w:ascii="Times New Roman" w:eastAsia="Times New Roman" w:hAnsi="Times New Roman" w:cs="Times New Roman"/>
                <w:highlight w:val="cyan"/>
              </w:rPr>
              <w:t>”</w:t>
            </w:r>
            <w:r>
              <w:rPr>
                <w:rFonts w:ascii="Times New Roman" w:eastAsia="Times New Roman" w:hAnsi="Times New Roman" w:cs="Times New Roman"/>
              </w:rPr>
              <w:t xml:space="preserve">) formulates the NTU </w:t>
            </w:r>
            <w:r>
              <w:rPr>
                <w:rFonts w:ascii="Times New Roman" w:eastAsia="Times New Roman" w:hAnsi="Times New Roman" w:cs="Times New Roman"/>
                <w:i/>
              </w:rPr>
              <w:t>Academic Regulations</w:t>
            </w:r>
            <w:r>
              <w:rPr>
                <w:rFonts w:ascii="Times New Roman" w:eastAsia="Times New Roman" w:hAnsi="Times New Roman" w:cs="Times New Roman"/>
              </w:rPr>
              <w:t xml:space="preserve"> (</w:t>
            </w:r>
            <w:r>
              <w:rPr>
                <w:rFonts w:ascii="Times New Roman" w:eastAsia="Times New Roman" w:hAnsi="Times New Roman" w:cs="Times New Roman"/>
                <w:highlight w:val="cyan"/>
              </w:rPr>
              <w:t>“</w:t>
            </w:r>
            <w:r>
              <w:rPr>
                <w:rFonts w:ascii="Times New Roman" w:eastAsia="Times New Roman" w:hAnsi="Times New Roman" w:cs="Times New Roman"/>
              </w:rPr>
              <w:t>the Regulations</w:t>
            </w:r>
            <w:r>
              <w:rPr>
                <w:rFonts w:ascii="Times New Roman" w:eastAsia="Times New Roman" w:hAnsi="Times New Roman" w:cs="Times New Roman"/>
                <w:highlight w:val="cyan"/>
              </w:rPr>
              <w:t>”</w:t>
            </w:r>
            <w:r>
              <w:rPr>
                <w:rFonts w:ascii="Times New Roman" w:eastAsia="Times New Roman" w:hAnsi="Times New Roman" w:cs="Times New Roman"/>
              </w:rPr>
              <w:t xml:space="preserve">) in accordance with the </w:t>
            </w:r>
            <w:r>
              <w:rPr>
                <w:rFonts w:ascii="Times New Roman" w:eastAsia="Times New Roman" w:hAnsi="Times New Roman" w:cs="Times New Roman"/>
                <w:i/>
              </w:rPr>
              <w:t>University Act</w:t>
            </w:r>
            <w:r>
              <w:rPr>
                <w:rFonts w:ascii="Times New Roman" w:eastAsia="Times New Roman" w:hAnsi="Times New Roman" w:cs="Times New Roman"/>
              </w:rPr>
              <w:t xml:space="preserve">, the </w:t>
            </w:r>
            <w:r>
              <w:rPr>
                <w:rFonts w:ascii="Times New Roman" w:eastAsia="Times New Roman" w:hAnsi="Times New Roman" w:cs="Times New Roman"/>
                <w:i/>
              </w:rPr>
              <w:t>Enforcement Rules of the University Act</w:t>
            </w:r>
            <w:r>
              <w:rPr>
                <w:rFonts w:ascii="Times New Roman" w:eastAsia="Times New Roman" w:hAnsi="Times New Roman" w:cs="Times New Roman"/>
              </w:rPr>
              <w:t xml:space="preserve">, and the </w:t>
            </w:r>
            <w:r>
              <w:rPr>
                <w:rFonts w:ascii="Times New Roman" w:eastAsia="Times New Roman" w:hAnsi="Times New Roman" w:cs="Times New Roman"/>
                <w:i/>
              </w:rPr>
              <w:t>Degree Conferral Act</w:t>
            </w:r>
            <w:r>
              <w:rPr>
                <w:rFonts w:ascii="Times New Roman" w:eastAsia="Times New Roman" w:hAnsi="Times New Roman" w:cs="Times New Roman"/>
              </w:rPr>
              <w:t>.</w:t>
            </w:r>
          </w:p>
        </w:tc>
      </w:tr>
      <w:tr w:rsidR="00903465">
        <w:trPr>
          <w:trHeight w:val="1860"/>
        </w:trPr>
        <w:tc>
          <w:tcPr>
            <w:tcW w:w="846" w:type="dxa"/>
            <w:vMerge w:val="restart"/>
          </w:tcPr>
          <w:p w:rsidR="00903465" w:rsidRDefault="002A0530">
            <w:pPr>
              <w:widowControl/>
              <w:jc w:val="center"/>
            </w:pPr>
            <w:r>
              <w:t>7</w:t>
            </w:r>
          </w:p>
        </w:tc>
        <w:tc>
          <w:tcPr>
            <w:tcW w:w="1559" w:type="dxa"/>
            <w:vMerge w:val="restart"/>
            <w:tcBorders>
              <w:right w:val="single" w:sz="6" w:space="0" w:color="000000"/>
            </w:tcBorders>
          </w:tcPr>
          <w:p w:rsidR="00903465" w:rsidRDefault="006765CC">
            <w:pPr>
              <w:widowControl/>
              <w:jc w:val="center"/>
            </w:pPr>
            <w:sdt>
              <w:sdtPr>
                <w:tag w:val="goog_rdk_38"/>
                <w:id w:val="1251547995"/>
              </w:sdtPr>
              <w:sdtEndPr/>
              <w:sdtContent>
                <w:r w:rsidR="002A0530">
                  <w:rPr>
                    <w:rFonts w:ascii="Gungsuh" w:eastAsia="Gungsuh" w:hAnsi="Gungsuh" w:cs="Gungsuh"/>
                  </w:rPr>
                  <w:t>訂定目的及法源依據</w:t>
                </w:r>
              </w:sdtContent>
            </w:sdt>
          </w:p>
        </w:tc>
        <w:tc>
          <w:tcPr>
            <w:tcW w:w="5528" w:type="dxa"/>
            <w:tcBorders>
              <w:top w:val="single" w:sz="4" w:space="0" w:color="000000"/>
              <w:left w:val="single" w:sz="6" w:space="0" w:color="000000"/>
              <w:bottom w:val="single" w:sz="4" w:space="0" w:color="000000"/>
              <w:right w:val="single" w:sz="4" w:space="0" w:color="000000"/>
            </w:tcBorders>
            <w:shd w:val="clear" w:color="auto" w:fill="auto"/>
          </w:tcPr>
          <w:p w:rsidR="00903465" w:rsidRDefault="006765CC">
            <w:pPr>
              <w:widowControl/>
            </w:pPr>
            <w:sdt>
              <w:sdtPr>
                <w:tag w:val="goog_rdk_39"/>
                <w:id w:val="-935597345"/>
              </w:sdtPr>
              <w:sdtEndPr/>
              <w:sdtContent>
                <w:r w:rsidR="002A0530">
                  <w:rPr>
                    <w:rFonts w:ascii="Gungsuh" w:eastAsia="Gungsuh" w:hAnsi="Gungsuh" w:cs="Gungsuh"/>
                  </w:rPr>
                  <w:t>為…，依OO法第OO條</w:t>
                </w:r>
              </w:sdtContent>
            </w:sdt>
            <w:r w:rsidR="002A0530">
              <w:rPr>
                <w:rFonts w:ascii="Times New Roman" w:eastAsia="Times New Roman" w:hAnsi="Times New Roman" w:cs="Times New Roman"/>
                <w:vertAlign w:val="superscript"/>
              </w:rPr>
              <w:t>5</w:t>
            </w:r>
            <w:sdt>
              <w:sdtPr>
                <w:tag w:val="goog_rdk_40"/>
                <w:id w:val="-815413997"/>
              </w:sdtPr>
              <w:sdtEndPr/>
              <w:sdtContent>
                <w:r w:rsidR="002A0530">
                  <w:rPr>
                    <w:rFonts w:ascii="Gungsuh" w:eastAsia="Gungsuh" w:hAnsi="Gungsuh" w:cs="Gungsuh"/>
                  </w:rPr>
                  <w:t>及OO法第OO條規定，訂定國立臺灣大學OO(下稱本OO)/本OO</w:t>
                </w:r>
              </w:sdtContent>
            </w:sdt>
            <w:r w:rsidR="002A0530">
              <w:rPr>
                <w:rFonts w:ascii="Times New Roman" w:eastAsia="Times New Roman" w:hAnsi="Times New Roman" w:cs="Times New Roman"/>
                <w:vertAlign w:val="superscript"/>
              </w:rPr>
              <w:t>1</w:t>
            </w:r>
            <w:sdt>
              <w:sdtPr>
                <w:tag w:val="goog_rdk_41"/>
                <w:id w:val="-956178415"/>
              </w:sdtPr>
              <w:sdtEndPr/>
              <w:sdtContent>
                <w:r w:rsidR="002A0530">
                  <w:rPr>
                    <w:rFonts w:ascii="Gungsuh" w:eastAsia="Gungsuh" w:hAnsi="Gungsuh" w:cs="Gungsuh"/>
                  </w:rPr>
                  <w:t>。</w:t>
                </w:r>
              </w:sdtContent>
            </w:sdt>
          </w:p>
        </w:tc>
        <w:tc>
          <w:tcPr>
            <w:tcW w:w="6015" w:type="dxa"/>
            <w:tcBorders>
              <w:top w:val="single" w:sz="4" w:space="0" w:color="000000"/>
              <w:left w:val="single" w:sz="4" w:space="0" w:color="000000"/>
              <w:bottom w:val="single" w:sz="4" w:space="0" w:color="000000"/>
              <w:right w:val="single" w:sz="4" w:space="0" w:color="000000"/>
            </w:tcBorders>
            <w:shd w:val="clear" w:color="auto" w:fill="auto"/>
          </w:tcPr>
          <w:p w:rsidR="00903465" w:rsidRDefault="002A0530">
            <w:pPr>
              <w:widowControl/>
            </w:pPr>
            <w:r>
              <w:t>為提高博士班研究生之研究能力，使具備應有之學養，依大學法第二十六條及學位授予法第九條規定，訂定本要點。</w:t>
            </w:r>
          </w:p>
        </w:tc>
      </w:tr>
      <w:tr w:rsidR="00903465">
        <w:trPr>
          <w:trHeight w:val="2546"/>
        </w:trPr>
        <w:tc>
          <w:tcPr>
            <w:tcW w:w="846" w:type="dxa"/>
            <w:vMerge/>
          </w:tcPr>
          <w:p w:rsidR="00903465" w:rsidRDefault="00903465">
            <w:pPr>
              <w:pBdr>
                <w:top w:val="nil"/>
                <w:left w:val="nil"/>
                <w:bottom w:val="nil"/>
                <w:right w:val="nil"/>
                <w:between w:val="nil"/>
              </w:pBdr>
              <w:spacing w:line="276" w:lineRule="auto"/>
            </w:pPr>
          </w:p>
        </w:tc>
        <w:tc>
          <w:tcPr>
            <w:tcW w:w="1559" w:type="dxa"/>
            <w:vMerge/>
          </w:tcPr>
          <w:p w:rsidR="00903465" w:rsidRDefault="00903465">
            <w:pPr>
              <w:pBdr>
                <w:top w:val="nil"/>
                <w:left w:val="nil"/>
                <w:bottom w:val="nil"/>
                <w:right w:val="nil"/>
                <w:between w:val="nil"/>
              </w:pBdr>
              <w:spacing w:line="276" w:lineRule="auto"/>
            </w:pPr>
          </w:p>
        </w:tc>
        <w:tc>
          <w:tcPr>
            <w:tcW w:w="5528" w:type="dxa"/>
            <w:tcBorders>
              <w:top w:val="single" w:sz="4" w:space="0" w:color="000000"/>
              <w:left w:val="nil"/>
              <w:bottom w:val="single" w:sz="4" w:space="0" w:color="000000"/>
              <w:right w:val="single" w:sz="4" w:space="0" w:color="000000"/>
            </w:tcBorders>
            <w:shd w:val="clear" w:color="auto" w:fill="D9D9D9"/>
          </w:tcPr>
          <w:p w:rsidR="00903465" w:rsidRDefault="002A0530">
            <w:pPr>
              <w:widowControl/>
            </w:pPr>
            <w:r>
              <w:rPr>
                <w:rFonts w:ascii="Times New Roman" w:eastAsia="Times New Roman" w:hAnsi="Times New Roman" w:cs="Times New Roman"/>
              </w:rPr>
              <w:t xml:space="preserve">The </w:t>
            </w:r>
            <w:r>
              <w:rPr>
                <w:rFonts w:ascii="Times New Roman" w:eastAsia="Times New Roman" w:hAnsi="Times New Roman" w:cs="Times New Roman"/>
                <w:i/>
                <w:highlight w:val="yellow"/>
              </w:rPr>
              <w:t>National Taiwan University</w:t>
            </w:r>
            <w:r>
              <w:rPr>
                <w:rFonts w:ascii="Times New Roman" w:eastAsia="Times New Roman" w:hAnsi="Times New Roman" w:cs="Times New Roman"/>
              </w:rPr>
              <w:t xml:space="preserve"> </w:t>
            </w:r>
            <w:r>
              <w:rPr>
                <w:rFonts w:ascii="Times New Roman" w:eastAsia="Times New Roman" w:hAnsi="Times New Roman" w:cs="Times New Roman"/>
                <w:i/>
              </w:rPr>
              <w:t xml:space="preserve">OO </w:t>
            </w:r>
            <w:r>
              <w:rPr>
                <w:rFonts w:ascii="Times New Roman" w:eastAsia="Times New Roman" w:hAnsi="Times New Roman" w:cs="Times New Roman"/>
              </w:rPr>
              <w:t>(</w:t>
            </w:r>
            <w:r>
              <w:rPr>
                <w:rFonts w:ascii="Times New Roman" w:eastAsia="Times New Roman" w:hAnsi="Times New Roman" w:cs="Times New Roman"/>
                <w:highlight w:val="cyan"/>
              </w:rPr>
              <w:t>“</w:t>
            </w:r>
            <w:r>
              <w:rPr>
                <w:rFonts w:ascii="Times New Roman" w:eastAsia="Times New Roman" w:hAnsi="Times New Roman" w:cs="Times New Roman"/>
              </w:rPr>
              <w:t>the OO</w:t>
            </w:r>
            <w:r>
              <w:rPr>
                <w:rFonts w:ascii="Times New Roman" w:eastAsia="Times New Roman" w:hAnsi="Times New Roman" w:cs="Times New Roman"/>
                <w:highlight w:val="cyan"/>
              </w:rPr>
              <w:t>”</w:t>
            </w:r>
            <w:r>
              <w:rPr>
                <w:rFonts w:ascii="Times New Roman" w:eastAsia="Times New Roman" w:hAnsi="Times New Roman" w:cs="Times New Roman"/>
              </w:rPr>
              <w:t>)</w:t>
            </w:r>
            <w:sdt>
              <w:sdtPr>
                <w:tag w:val="goog_rdk_42"/>
                <w:id w:val="1599524468"/>
              </w:sdtPr>
              <w:sdtEndPr/>
              <w:sdtContent>
                <w:r>
                  <w:rPr>
                    <w:rFonts w:ascii="Gungsuh" w:eastAsia="Gungsuh" w:hAnsi="Gungsuh" w:cs="Gungsuh"/>
                    <w:vertAlign w:val="superscript"/>
                  </w:rPr>
                  <w:t>2、3</w:t>
                </w:r>
              </w:sdtContent>
            </w:sdt>
            <w:r>
              <w:rPr>
                <w:rFonts w:ascii="Times New Roman" w:eastAsia="Times New Roman" w:hAnsi="Times New Roman" w:cs="Times New Roman"/>
              </w:rPr>
              <w:t xml:space="preserve"> are formulated</w:t>
            </w:r>
            <w:r>
              <w:rPr>
                <w:rFonts w:ascii="Times New Roman" w:eastAsia="Times New Roman" w:hAnsi="Times New Roman" w:cs="Times New Roman"/>
                <w:vertAlign w:val="superscript"/>
              </w:rPr>
              <w:t>4</w:t>
            </w:r>
            <w:r>
              <w:rPr>
                <w:rFonts w:ascii="Times New Roman" w:eastAsia="Times New Roman" w:hAnsi="Times New Roman" w:cs="Times New Roman"/>
              </w:rPr>
              <w:t xml:space="preserve"> in accordance with Article OO</w:t>
            </w:r>
            <w:r>
              <w:rPr>
                <w:rFonts w:ascii="Times New Roman" w:eastAsia="Times New Roman" w:hAnsi="Times New Roman" w:cs="Times New Roman"/>
                <w:vertAlign w:val="superscript"/>
              </w:rPr>
              <w:t>6</w:t>
            </w:r>
            <w:r>
              <w:rPr>
                <w:rFonts w:ascii="Times New Roman" w:eastAsia="Times New Roman" w:hAnsi="Times New Roman" w:cs="Times New Roman"/>
              </w:rPr>
              <w:t xml:space="preserve"> of the </w:t>
            </w:r>
            <w:r>
              <w:rPr>
                <w:rFonts w:ascii="Times New Roman" w:eastAsia="Times New Roman" w:hAnsi="Times New Roman" w:cs="Times New Roman"/>
                <w:i/>
              </w:rPr>
              <w:t>OO Act</w:t>
            </w:r>
            <w:r>
              <w:rPr>
                <w:rFonts w:ascii="Times New Roman" w:eastAsia="Times New Roman" w:hAnsi="Times New Roman" w:cs="Times New Roman"/>
                <w:i/>
                <w:vertAlign w:val="superscript"/>
              </w:rPr>
              <w:t>7</w:t>
            </w:r>
            <w:r>
              <w:rPr>
                <w:rFonts w:ascii="Times New Roman" w:eastAsia="Times New Roman" w:hAnsi="Times New Roman" w:cs="Times New Roman"/>
              </w:rPr>
              <w:t xml:space="preserve"> and Article OO of the </w:t>
            </w:r>
            <w:r>
              <w:rPr>
                <w:rFonts w:ascii="Times New Roman" w:eastAsia="Times New Roman" w:hAnsi="Times New Roman" w:cs="Times New Roman"/>
                <w:i/>
              </w:rPr>
              <w:t>OO Act</w:t>
            </w:r>
            <w:r>
              <w:rPr>
                <w:rFonts w:ascii="Times New Roman" w:eastAsia="Times New Roman" w:hAnsi="Times New Roman" w:cs="Times New Roman"/>
              </w:rPr>
              <w:t xml:space="preserve"> to…</w:t>
            </w:r>
            <w:proofErr w:type="gramStart"/>
            <w:r>
              <w:rPr>
                <w:rFonts w:ascii="Times New Roman" w:eastAsia="Times New Roman" w:hAnsi="Times New Roman" w:cs="Times New Roman"/>
              </w:rPr>
              <w:t>…</w:t>
            </w:r>
            <w:proofErr w:type="gramEnd"/>
          </w:p>
        </w:tc>
        <w:tc>
          <w:tcPr>
            <w:tcW w:w="6015" w:type="dxa"/>
            <w:tcBorders>
              <w:top w:val="single" w:sz="4" w:space="0" w:color="000000"/>
              <w:left w:val="nil"/>
              <w:bottom w:val="single" w:sz="4" w:space="0" w:color="000000"/>
              <w:right w:val="single" w:sz="4" w:space="0" w:color="000000"/>
            </w:tcBorders>
            <w:shd w:val="clear" w:color="auto" w:fill="D9D9D9"/>
          </w:tcPr>
          <w:p w:rsidR="00903465" w:rsidRDefault="002A0530">
            <w:pPr>
              <w:widowControl/>
            </w:pPr>
            <w:r>
              <w:rPr>
                <w:rFonts w:ascii="Times New Roman" w:eastAsia="Times New Roman" w:hAnsi="Times New Roman" w:cs="Times New Roman"/>
              </w:rPr>
              <w:t xml:space="preserve">The </w:t>
            </w:r>
            <w:r>
              <w:rPr>
                <w:rFonts w:ascii="Times New Roman" w:eastAsia="Times New Roman" w:hAnsi="Times New Roman" w:cs="Times New Roman"/>
                <w:i/>
                <w:highlight w:val="yellow"/>
              </w:rPr>
              <w:t>National Taiwan University</w:t>
            </w:r>
            <w:r>
              <w:rPr>
                <w:rFonts w:ascii="Times New Roman" w:eastAsia="Times New Roman" w:hAnsi="Times New Roman" w:cs="Times New Roman"/>
              </w:rPr>
              <w:t xml:space="preserve"> </w:t>
            </w:r>
            <w:r>
              <w:rPr>
                <w:rFonts w:ascii="Times New Roman" w:eastAsia="Times New Roman" w:hAnsi="Times New Roman" w:cs="Times New Roman"/>
                <w:i/>
              </w:rPr>
              <w:t>Directives for the Implementation of Ph.D. Candidate Qualifying Examinations</w:t>
            </w:r>
            <w:r>
              <w:rPr>
                <w:rFonts w:ascii="Times New Roman" w:eastAsia="Times New Roman" w:hAnsi="Times New Roman" w:cs="Times New Roman"/>
              </w:rPr>
              <w:t xml:space="preserve"> (</w:t>
            </w:r>
            <w:r>
              <w:rPr>
                <w:rFonts w:ascii="Times New Roman" w:eastAsia="Times New Roman" w:hAnsi="Times New Roman" w:cs="Times New Roman"/>
                <w:highlight w:val="cyan"/>
              </w:rPr>
              <w:t>“</w:t>
            </w:r>
            <w:r>
              <w:rPr>
                <w:rFonts w:ascii="Times New Roman" w:eastAsia="Times New Roman" w:hAnsi="Times New Roman" w:cs="Times New Roman"/>
              </w:rPr>
              <w:t>the Directives</w:t>
            </w:r>
            <w:r>
              <w:rPr>
                <w:rFonts w:ascii="Times New Roman" w:eastAsia="Times New Roman" w:hAnsi="Times New Roman" w:cs="Times New Roman"/>
                <w:highlight w:val="cyan"/>
              </w:rPr>
              <w:t>”</w:t>
            </w:r>
            <w:r>
              <w:rPr>
                <w:rFonts w:ascii="Times New Roman" w:eastAsia="Times New Roman" w:hAnsi="Times New Roman" w:cs="Times New Roman"/>
              </w:rPr>
              <w:t>) are formulated in accordance with Article 26 of the</w:t>
            </w:r>
            <w:r>
              <w:rPr>
                <w:rFonts w:ascii="Times New Roman" w:eastAsia="Times New Roman" w:hAnsi="Times New Roman" w:cs="Times New Roman"/>
                <w:i/>
              </w:rPr>
              <w:t xml:space="preserve"> University Act</w:t>
            </w:r>
            <w:r>
              <w:rPr>
                <w:rFonts w:ascii="Times New Roman" w:eastAsia="Times New Roman" w:hAnsi="Times New Roman" w:cs="Times New Roman"/>
              </w:rPr>
              <w:t xml:space="preserve"> and Article 9 of the</w:t>
            </w:r>
            <w:r>
              <w:rPr>
                <w:rFonts w:ascii="Times New Roman" w:eastAsia="Times New Roman" w:hAnsi="Times New Roman" w:cs="Times New Roman"/>
                <w:i/>
              </w:rPr>
              <w:t xml:space="preserve"> Degree Conferral Act </w:t>
            </w:r>
            <w:r>
              <w:rPr>
                <w:rFonts w:ascii="Times New Roman" w:eastAsia="Times New Roman" w:hAnsi="Times New Roman" w:cs="Times New Roman"/>
              </w:rPr>
              <w:t>to increase the research skills and abilities of doctoral students and equip them with necessary academic competencies</w:t>
            </w:r>
            <w:r>
              <w:rPr>
                <w:rFonts w:ascii="Times New Roman" w:eastAsia="Times New Roman" w:hAnsi="Times New Roman" w:cs="Times New Roman"/>
                <w:i/>
              </w:rPr>
              <w:t>.</w:t>
            </w:r>
          </w:p>
        </w:tc>
      </w:tr>
    </w:tbl>
    <w:p w:rsidR="00903465" w:rsidRDefault="002A0530">
      <w:r>
        <w:br w:type="page"/>
      </w:r>
    </w:p>
    <w:tbl>
      <w:tblPr>
        <w:tblStyle w:val="afe"/>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559"/>
        <w:gridCol w:w="5528"/>
        <w:gridCol w:w="6015"/>
      </w:tblGrid>
      <w:tr w:rsidR="00903465">
        <w:tc>
          <w:tcPr>
            <w:tcW w:w="846" w:type="dxa"/>
            <w:shd w:val="clear" w:color="auto" w:fill="D0CECE"/>
          </w:tcPr>
          <w:p w:rsidR="00903465" w:rsidRDefault="002A0530">
            <w:pPr>
              <w:widowControl/>
              <w:jc w:val="center"/>
            </w:pPr>
            <w:r>
              <w:lastRenderedPageBreak/>
              <w:t>樣態</w:t>
            </w:r>
          </w:p>
        </w:tc>
        <w:tc>
          <w:tcPr>
            <w:tcW w:w="1559" w:type="dxa"/>
            <w:shd w:val="clear" w:color="auto" w:fill="D0CECE"/>
          </w:tcPr>
          <w:p w:rsidR="00903465" w:rsidRDefault="002A0530">
            <w:pPr>
              <w:widowControl/>
              <w:jc w:val="center"/>
            </w:pPr>
            <w:r>
              <w:t>句型結構</w:t>
            </w:r>
          </w:p>
        </w:tc>
        <w:tc>
          <w:tcPr>
            <w:tcW w:w="5528" w:type="dxa"/>
            <w:shd w:val="clear" w:color="auto" w:fill="D0CECE"/>
          </w:tcPr>
          <w:p w:rsidR="00903465" w:rsidRDefault="002A0530">
            <w:pPr>
              <w:widowControl/>
              <w:jc w:val="center"/>
            </w:pPr>
            <w:r>
              <w:t>首條格式</w:t>
            </w:r>
          </w:p>
        </w:tc>
        <w:tc>
          <w:tcPr>
            <w:tcW w:w="6015" w:type="dxa"/>
            <w:shd w:val="clear" w:color="auto" w:fill="D0CECE"/>
          </w:tcPr>
          <w:p w:rsidR="00903465" w:rsidRDefault="002A0530">
            <w:pPr>
              <w:widowControl/>
              <w:jc w:val="center"/>
            </w:pPr>
            <w:r>
              <w:t>首條範例</w:t>
            </w:r>
          </w:p>
        </w:tc>
      </w:tr>
      <w:tr w:rsidR="00903465">
        <w:trPr>
          <w:trHeight w:val="1960"/>
        </w:trPr>
        <w:tc>
          <w:tcPr>
            <w:tcW w:w="846" w:type="dxa"/>
            <w:vMerge w:val="restart"/>
          </w:tcPr>
          <w:p w:rsidR="00903465" w:rsidRDefault="002A0530">
            <w:pPr>
              <w:widowControl/>
              <w:jc w:val="center"/>
            </w:pPr>
            <w:r>
              <w:t>8</w:t>
            </w:r>
          </w:p>
        </w:tc>
        <w:tc>
          <w:tcPr>
            <w:tcW w:w="1559" w:type="dxa"/>
            <w:vMerge w:val="restart"/>
            <w:tcBorders>
              <w:right w:val="single" w:sz="6" w:space="0" w:color="000000"/>
            </w:tcBorders>
          </w:tcPr>
          <w:p w:rsidR="00903465" w:rsidRDefault="002A0530">
            <w:pPr>
              <w:widowControl/>
              <w:jc w:val="center"/>
            </w:pPr>
            <w:r>
              <w:t>訂定主體、</w:t>
            </w:r>
          </w:p>
          <w:p w:rsidR="00903465" w:rsidRDefault="002A0530">
            <w:pPr>
              <w:widowControl/>
              <w:jc w:val="center"/>
            </w:pPr>
            <w:r>
              <w:t>訂定目的及</w:t>
            </w:r>
          </w:p>
          <w:p w:rsidR="00903465" w:rsidRDefault="002A0530">
            <w:pPr>
              <w:widowControl/>
              <w:jc w:val="center"/>
            </w:pPr>
            <w:r>
              <w:t>法源依據</w:t>
            </w:r>
          </w:p>
        </w:tc>
        <w:tc>
          <w:tcPr>
            <w:tcW w:w="5528" w:type="dxa"/>
            <w:tcBorders>
              <w:top w:val="single" w:sz="4" w:space="0" w:color="000000"/>
              <w:left w:val="single" w:sz="6" w:space="0" w:color="000000"/>
              <w:bottom w:val="single" w:sz="4" w:space="0" w:color="000000"/>
              <w:right w:val="single" w:sz="4" w:space="0" w:color="000000"/>
            </w:tcBorders>
            <w:shd w:val="clear" w:color="auto" w:fill="auto"/>
          </w:tcPr>
          <w:p w:rsidR="00903465" w:rsidRDefault="006765CC">
            <w:pPr>
              <w:widowControl/>
            </w:pPr>
            <w:sdt>
              <w:sdtPr>
                <w:tag w:val="goog_rdk_43"/>
                <w:id w:val="-1358880977"/>
              </w:sdtPr>
              <w:sdtEndPr/>
              <w:sdtContent>
                <w:r w:rsidR="002A0530">
                  <w:rPr>
                    <w:rFonts w:ascii="Gungsuh" w:eastAsia="Gungsuh" w:hAnsi="Gungsuh" w:cs="Gungsuh"/>
                  </w:rPr>
                  <w:t>本校/國立臺灣大學(下稱本校)</w:t>
                </w:r>
              </w:sdtContent>
            </w:sdt>
            <w:r w:rsidR="002A0530">
              <w:rPr>
                <w:rFonts w:ascii="Times New Roman" w:eastAsia="Times New Roman" w:hAnsi="Times New Roman" w:cs="Times New Roman"/>
                <w:vertAlign w:val="superscript"/>
              </w:rPr>
              <w:t>8</w:t>
            </w:r>
            <w:sdt>
              <w:sdtPr>
                <w:tag w:val="goog_rdk_44"/>
                <w:id w:val="-1400130884"/>
              </w:sdtPr>
              <w:sdtEndPr/>
              <w:sdtContent>
                <w:r w:rsidR="002A0530">
                  <w:rPr>
                    <w:rFonts w:ascii="Gungsuh" w:eastAsia="Gungsuh" w:hAnsi="Gungsuh" w:cs="Gungsuh"/>
                  </w:rPr>
                  <w:t>為…</w:t>
                </w:r>
                <w:proofErr w:type="gramStart"/>
                <w:r w:rsidR="002A0530">
                  <w:rPr>
                    <w:rFonts w:ascii="Gungsuh" w:eastAsia="Gungsuh" w:hAnsi="Gungsuh" w:cs="Gungsuh"/>
                  </w:rPr>
                  <w:t>…</w:t>
                </w:r>
                <w:proofErr w:type="gramEnd"/>
                <w:r w:rsidR="002A0530">
                  <w:rPr>
                    <w:rFonts w:ascii="Gungsuh" w:eastAsia="Gungsuh" w:hAnsi="Gungsuh" w:cs="Gungsuh"/>
                  </w:rPr>
                  <w:t>，依OO法第OO條</w:t>
                </w:r>
              </w:sdtContent>
            </w:sdt>
            <w:r w:rsidR="002A0530">
              <w:rPr>
                <w:rFonts w:ascii="Times New Roman" w:eastAsia="Times New Roman" w:hAnsi="Times New Roman" w:cs="Times New Roman"/>
                <w:vertAlign w:val="superscript"/>
              </w:rPr>
              <w:t>5</w:t>
            </w:r>
            <w:sdt>
              <w:sdtPr>
                <w:tag w:val="goog_rdk_45"/>
                <w:id w:val="1208300019"/>
              </w:sdtPr>
              <w:sdtEndPr/>
              <w:sdtContent>
                <w:r w:rsidR="002A0530">
                  <w:rPr>
                    <w:rFonts w:ascii="Gungsuh" w:eastAsia="Gungsuh" w:hAnsi="Gungsuh" w:cs="Gungsuh"/>
                  </w:rPr>
                  <w:t>規定，訂定國立臺灣大學OO(下稱本OO)</w:t>
                </w:r>
              </w:sdtContent>
            </w:sdt>
            <w:r w:rsidR="002A0530">
              <w:rPr>
                <w:rFonts w:ascii="Times New Roman" w:eastAsia="Times New Roman" w:hAnsi="Times New Roman" w:cs="Times New Roman"/>
                <w:vertAlign w:val="superscript"/>
              </w:rPr>
              <w:t xml:space="preserve"> 1</w:t>
            </w:r>
            <w:sdt>
              <w:sdtPr>
                <w:tag w:val="goog_rdk_46"/>
                <w:id w:val="-2004271902"/>
              </w:sdtPr>
              <w:sdtEndPr/>
              <w:sdtContent>
                <w:r w:rsidR="002A0530">
                  <w:rPr>
                    <w:rFonts w:ascii="Gungsuh" w:eastAsia="Gungsuh" w:hAnsi="Gungsuh" w:cs="Gungsuh"/>
                  </w:rPr>
                  <w:t>/本OO。</w:t>
                </w:r>
              </w:sdtContent>
            </w:sdt>
          </w:p>
        </w:tc>
        <w:tc>
          <w:tcPr>
            <w:tcW w:w="6015" w:type="dxa"/>
            <w:tcBorders>
              <w:top w:val="single" w:sz="4" w:space="0" w:color="000000"/>
              <w:left w:val="single" w:sz="4" w:space="0" w:color="000000"/>
              <w:bottom w:val="single" w:sz="4" w:space="0" w:color="000000"/>
              <w:right w:val="single" w:sz="4" w:space="0" w:color="000000"/>
            </w:tcBorders>
            <w:shd w:val="clear" w:color="auto" w:fill="auto"/>
          </w:tcPr>
          <w:p w:rsidR="00903465" w:rsidRDefault="002A0530">
            <w:pPr>
              <w:widowControl/>
            </w:pPr>
            <w:r>
              <w:t>國立臺灣大學</w:t>
            </w:r>
            <w:r>
              <w:t>(</w:t>
            </w:r>
            <w:r>
              <w:t>下稱本校</w:t>
            </w:r>
            <w:r>
              <w:t>)</w:t>
            </w:r>
            <w:r>
              <w:t>為評鑑教師之教學、研究、服務各項成效，依大學法第十九至二十一條及教師法第十六條規定，訂定本準則。</w:t>
            </w:r>
          </w:p>
        </w:tc>
      </w:tr>
      <w:tr w:rsidR="00903465">
        <w:trPr>
          <w:trHeight w:val="1960"/>
        </w:trPr>
        <w:tc>
          <w:tcPr>
            <w:tcW w:w="846" w:type="dxa"/>
            <w:vMerge/>
          </w:tcPr>
          <w:p w:rsidR="00903465" w:rsidRDefault="00903465">
            <w:pPr>
              <w:pBdr>
                <w:top w:val="nil"/>
                <w:left w:val="nil"/>
                <w:bottom w:val="nil"/>
                <w:right w:val="nil"/>
                <w:between w:val="nil"/>
              </w:pBdr>
              <w:spacing w:line="276" w:lineRule="auto"/>
            </w:pPr>
          </w:p>
        </w:tc>
        <w:tc>
          <w:tcPr>
            <w:tcW w:w="1559" w:type="dxa"/>
            <w:vMerge/>
          </w:tcPr>
          <w:p w:rsidR="00903465" w:rsidRDefault="00903465">
            <w:pPr>
              <w:pBdr>
                <w:top w:val="nil"/>
                <w:left w:val="nil"/>
                <w:bottom w:val="nil"/>
                <w:right w:val="nil"/>
                <w:between w:val="nil"/>
              </w:pBdr>
              <w:spacing w:line="276" w:lineRule="auto"/>
            </w:pPr>
          </w:p>
        </w:tc>
        <w:tc>
          <w:tcPr>
            <w:tcW w:w="5528" w:type="dxa"/>
            <w:tcBorders>
              <w:top w:val="single" w:sz="4" w:space="0" w:color="000000"/>
              <w:left w:val="nil"/>
              <w:bottom w:val="single" w:sz="4" w:space="0" w:color="000000"/>
              <w:right w:val="single" w:sz="4" w:space="0" w:color="000000"/>
            </w:tcBorders>
            <w:shd w:val="clear" w:color="auto" w:fill="D0CECE"/>
          </w:tcPr>
          <w:p w:rsidR="00903465" w:rsidRDefault="002A0530">
            <w:pPr>
              <w:widowControl/>
            </w:pPr>
            <w:r>
              <w:rPr>
                <w:rFonts w:ascii="Times New Roman" w:eastAsia="Times New Roman" w:hAnsi="Times New Roman" w:cs="Times New Roman"/>
              </w:rPr>
              <w:t xml:space="preserve">National Taiwan University (NTU or </w:t>
            </w:r>
            <w:r>
              <w:rPr>
                <w:rFonts w:ascii="Times New Roman" w:eastAsia="Times New Roman" w:hAnsi="Times New Roman" w:cs="Times New Roman"/>
                <w:highlight w:val="cyan"/>
              </w:rPr>
              <w:t>“</w:t>
            </w:r>
            <w:r>
              <w:rPr>
                <w:rFonts w:ascii="Times New Roman" w:eastAsia="Times New Roman" w:hAnsi="Times New Roman" w:cs="Times New Roman"/>
              </w:rPr>
              <w:t>the University</w:t>
            </w:r>
            <w:r>
              <w:rPr>
                <w:rFonts w:ascii="Times New Roman" w:eastAsia="Times New Roman" w:hAnsi="Times New Roman" w:cs="Times New Roman"/>
                <w:highlight w:val="cyan"/>
              </w:rPr>
              <w:t>”</w:t>
            </w:r>
            <w:r>
              <w:rPr>
                <w:rFonts w:ascii="Times New Roman" w:eastAsia="Times New Roman" w:hAnsi="Times New Roman" w:cs="Times New Roman"/>
                <w:vertAlign w:val="superscript"/>
              </w:rPr>
              <w:t>9</w:t>
            </w:r>
            <w:r>
              <w:rPr>
                <w:rFonts w:ascii="Times New Roman" w:eastAsia="Times New Roman" w:hAnsi="Times New Roman" w:cs="Times New Roman"/>
              </w:rPr>
              <w:t>)  formulates</w:t>
            </w:r>
            <w:r>
              <w:rPr>
                <w:rFonts w:ascii="Times New Roman" w:eastAsia="Times New Roman" w:hAnsi="Times New Roman" w:cs="Times New Roman"/>
                <w:vertAlign w:val="superscript"/>
              </w:rPr>
              <w:t>5</w:t>
            </w:r>
            <w:r>
              <w:rPr>
                <w:rFonts w:ascii="Times New Roman" w:eastAsia="Times New Roman" w:hAnsi="Times New Roman" w:cs="Times New Roman"/>
              </w:rPr>
              <w:t xml:space="preserve"> the NTU </w:t>
            </w:r>
            <w:r>
              <w:rPr>
                <w:rFonts w:ascii="Times New Roman" w:eastAsia="Times New Roman" w:hAnsi="Times New Roman" w:cs="Times New Roman"/>
                <w:i/>
              </w:rPr>
              <w:t xml:space="preserve">OO </w:t>
            </w:r>
            <w:r>
              <w:rPr>
                <w:rFonts w:ascii="Times New Roman" w:eastAsia="Times New Roman" w:hAnsi="Times New Roman" w:cs="Times New Roman"/>
              </w:rPr>
              <w:t>(</w:t>
            </w:r>
            <w:r>
              <w:rPr>
                <w:rFonts w:ascii="Times New Roman" w:eastAsia="Times New Roman" w:hAnsi="Times New Roman" w:cs="Times New Roman"/>
                <w:highlight w:val="cyan"/>
              </w:rPr>
              <w:t>“</w:t>
            </w:r>
            <w:r>
              <w:rPr>
                <w:rFonts w:ascii="Times New Roman" w:eastAsia="Times New Roman" w:hAnsi="Times New Roman" w:cs="Times New Roman"/>
              </w:rPr>
              <w:t>the OO</w:t>
            </w:r>
            <w:r>
              <w:rPr>
                <w:rFonts w:ascii="Times New Roman" w:eastAsia="Times New Roman" w:hAnsi="Times New Roman" w:cs="Times New Roman"/>
                <w:highlight w:val="cyan"/>
              </w:rPr>
              <w:t>”</w:t>
            </w:r>
            <w:r>
              <w:rPr>
                <w:rFonts w:ascii="Times New Roman" w:eastAsia="Times New Roman" w:hAnsi="Times New Roman" w:cs="Times New Roman"/>
              </w:rPr>
              <w:t>)</w:t>
            </w:r>
            <w:sdt>
              <w:sdtPr>
                <w:tag w:val="goog_rdk_47"/>
                <w:id w:val="-5208926"/>
              </w:sdtPr>
              <w:sdtEndPr/>
              <w:sdtContent>
                <w:r>
                  <w:rPr>
                    <w:rFonts w:ascii="Gungsuh" w:eastAsia="Gungsuh" w:hAnsi="Gungsuh" w:cs="Gungsuh"/>
                    <w:vertAlign w:val="superscript"/>
                  </w:rPr>
                  <w:t xml:space="preserve">2、3 </w:t>
                </w:r>
              </w:sdtContent>
            </w:sdt>
            <w:r>
              <w:rPr>
                <w:rFonts w:ascii="Times New Roman" w:eastAsia="Times New Roman" w:hAnsi="Times New Roman" w:cs="Times New Roman"/>
              </w:rPr>
              <w:t>in accordance with Article OO</w:t>
            </w:r>
            <w:r>
              <w:rPr>
                <w:rFonts w:ascii="Times New Roman" w:eastAsia="Times New Roman" w:hAnsi="Times New Roman" w:cs="Times New Roman"/>
                <w:vertAlign w:val="superscript"/>
              </w:rPr>
              <w:t xml:space="preserve">6 </w:t>
            </w:r>
            <w:r>
              <w:rPr>
                <w:rFonts w:ascii="Times New Roman" w:eastAsia="Times New Roman" w:hAnsi="Times New Roman" w:cs="Times New Roman"/>
              </w:rPr>
              <w:t xml:space="preserve">of the </w:t>
            </w:r>
            <w:r>
              <w:rPr>
                <w:rFonts w:ascii="Times New Roman" w:eastAsia="Times New Roman" w:hAnsi="Times New Roman" w:cs="Times New Roman"/>
                <w:i/>
              </w:rPr>
              <w:t>OO Act</w:t>
            </w:r>
            <w:r>
              <w:rPr>
                <w:rFonts w:ascii="Times New Roman" w:eastAsia="Times New Roman" w:hAnsi="Times New Roman" w:cs="Times New Roman"/>
                <w:i/>
                <w:vertAlign w:val="superscript"/>
              </w:rPr>
              <w:t>7</w:t>
            </w:r>
            <w:r>
              <w:rPr>
                <w:rFonts w:ascii="Times New Roman" w:eastAsia="Times New Roman" w:hAnsi="Times New Roman" w:cs="Times New Roman"/>
              </w:rPr>
              <w:t xml:space="preserve"> and Article OO of the </w:t>
            </w:r>
            <w:r>
              <w:rPr>
                <w:rFonts w:ascii="Times New Roman" w:eastAsia="Times New Roman" w:hAnsi="Times New Roman" w:cs="Times New Roman"/>
                <w:i/>
              </w:rPr>
              <w:t>OO Act</w:t>
            </w:r>
            <w:r>
              <w:rPr>
                <w:rFonts w:ascii="Times New Roman" w:eastAsia="Times New Roman" w:hAnsi="Times New Roman" w:cs="Times New Roman"/>
              </w:rPr>
              <w:t xml:space="preserve"> to…</w:t>
            </w:r>
            <w:proofErr w:type="gramStart"/>
            <w:r>
              <w:rPr>
                <w:rFonts w:ascii="Times New Roman" w:eastAsia="Times New Roman" w:hAnsi="Times New Roman" w:cs="Times New Roman"/>
              </w:rPr>
              <w:t>…</w:t>
            </w:r>
            <w:proofErr w:type="gramEnd"/>
          </w:p>
        </w:tc>
        <w:tc>
          <w:tcPr>
            <w:tcW w:w="6015" w:type="dxa"/>
            <w:tcBorders>
              <w:top w:val="single" w:sz="4" w:space="0" w:color="000000"/>
              <w:left w:val="single" w:sz="4" w:space="0" w:color="000000"/>
              <w:bottom w:val="single" w:sz="4" w:space="0" w:color="000000"/>
              <w:right w:val="single" w:sz="4" w:space="0" w:color="000000"/>
            </w:tcBorders>
            <w:shd w:val="clear" w:color="auto" w:fill="D0CECE"/>
          </w:tcPr>
          <w:p w:rsidR="00903465" w:rsidRDefault="002A0530">
            <w:pPr>
              <w:spacing w:line="320" w:lineRule="auto"/>
              <w:jc w:val="both"/>
              <w:rPr>
                <w:rFonts w:ascii="Times New Roman" w:eastAsia="Times New Roman" w:hAnsi="Times New Roman" w:cs="Times New Roman"/>
              </w:rPr>
            </w:pPr>
            <w:r>
              <w:rPr>
                <w:rFonts w:ascii="Times New Roman" w:eastAsia="Times New Roman" w:hAnsi="Times New Roman" w:cs="Times New Roman"/>
              </w:rPr>
              <w:t xml:space="preserve">National Taiwan University (NTU) formulates the NTU </w:t>
            </w:r>
            <w:r>
              <w:rPr>
                <w:rFonts w:ascii="Times New Roman" w:eastAsia="Times New Roman" w:hAnsi="Times New Roman" w:cs="Times New Roman"/>
                <w:i/>
              </w:rPr>
              <w:t>Faculty Evaluation Guidelines</w:t>
            </w:r>
            <w:r>
              <w:rPr>
                <w:rFonts w:ascii="Times New Roman" w:eastAsia="Times New Roman" w:hAnsi="Times New Roman" w:cs="Times New Roman"/>
              </w:rPr>
              <w:t xml:space="preserve"> (</w:t>
            </w:r>
            <w:r>
              <w:rPr>
                <w:rFonts w:ascii="Times New Roman" w:eastAsia="Times New Roman" w:hAnsi="Times New Roman" w:cs="Times New Roman"/>
                <w:highlight w:val="cyan"/>
              </w:rPr>
              <w:t>“</w:t>
            </w:r>
            <w:r>
              <w:rPr>
                <w:rFonts w:ascii="Times New Roman" w:eastAsia="Times New Roman" w:hAnsi="Times New Roman" w:cs="Times New Roman"/>
              </w:rPr>
              <w:t>the Guidelines</w:t>
            </w:r>
            <w:r>
              <w:rPr>
                <w:rFonts w:ascii="Times New Roman" w:eastAsia="Times New Roman" w:hAnsi="Times New Roman" w:cs="Times New Roman"/>
                <w:highlight w:val="cyan"/>
              </w:rPr>
              <w:t>”</w:t>
            </w:r>
            <w:r>
              <w:rPr>
                <w:rFonts w:ascii="Times New Roman" w:eastAsia="Times New Roman" w:hAnsi="Times New Roman" w:cs="Times New Roman"/>
              </w:rPr>
              <w:t xml:space="preserve">) in accordance with Articles 19 through 21 of the </w:t>
            </w:r>
            <w:r>
              <w:rPr>
                <w:rFonts w:ascii="Times New Roman" w:eastAsia="Times New Roman" w:hAnsi="Times New Roman" w:cs="Times New Roman"/>
                <w:i/>
              </w:rPr>
              <w:t xml:space="preserve">University Act </w:t>
            </w:r>
            <w:r>
              <w:rPr>
                <w:rFonts w:ascii="Times New Roman" w:eastAsia="Times New Roman" w:hAnsi="Times New Roman" w:cs="Times New Roman"/>
              </w:rPr>
              <w:t xml:space="preserve">and Article 16 of the </w:t>
            </w:r>
            <w:r>
              <w:rPr>
                <w:rFonts w:ascii="Times New Roman" w:eastAsia="Times New Roman" w:hAnsi="Times New Roman" w:cs="Times New Roman"/>
                <w:i/>
              </w:rPr>
              <w:t xml:space="preserve">Teacher’s Act </w:t>
            </w:r>
            <w:r>
              <w:rPr>
                <w:rFonts w:ascii="Times New Roman" w:eastAsia="Times New Roman" w:hAnsi="Times New Roman" w:cs="Times New Roman"/>
              </w:rPr>
              <w:t>to evaluate faculty achievements in teaching, research and services.</w:t>
            </w:r>
          </w:p>
          <w:p w:rsidR="00903465" w:rsidRDefault="00903465">
            <w:pPr>
              <w:widowControl/>
            </w:pPr>
          </w:p>
        </w:tc>
      </w:tr>
    </w:tbl>
    <w:p w:rsidR="00903465" w:rsidRDefault="002A0530">
      <w:r>
        <w:br w:type="page"/>
      </w:r>
    </w:p>
    <w:tbl>
      <w:tblPr>
        <w:tblStyle w:val="aff"/>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48"/>
      </w:tblGrid>
      <w:tr w:rsidR="00903465">
        <w:tc>
          <w:tcPr>
            <w:tcW w:w="13948" w:type="dxa"/>
          </w:tcPr>
          <w:p w:rsidR="00903465" w:rsidRDefault="002A0530">
            <w:pPr>
              <w:pBdr>
                <w:top w:val="nil"/>
                <w:left w:val="nil"/>
                <w:bottom w:val="nil"/>
                <w:right w:val="nil"/>
                <w:between w:val="nil"/>
              </w:pBdr>
              <w:ind w:hanging="1"/>
              <w:rPr>
                <w:color w:val="000000"/>
              </w:rPr>
            </w:pPr>
            <w:r>
              <w:rPr>
                <w:b/>
                <w:color w:val="000000"/>
              </w:rPr>
              <w:lastRenderedPageBreak/>
              <w:t>下列各項說明為</w:t>
            </w:r>
            <w:proofErr w:type="gramStart"/>
            <w:r>
              <w:rPr>
                <w:b/>
                <w:color w:val="000000"/>
              </w:rPr>
              <w:t>各樣態</w:t>
            </w:r>
            <w:proofErr w:type="gramEnd"/>
            <w:r>
              <w:rPr>
                <w:b/>
                <w:color w:val="000000"/>
              </w:rPr>
              <w:t>格式與範例之通用準則，請依實際情況使用</w:t>
            </w:r>
            <w:r>
              <w:rPr>
                <w:color w:val="000000"/>
              </w:rPr>
              <w:t>。</w:t>
            </w:r>
          </w:p>
          <w:p w:rsidR="00903465" w:rsidRDefault="002A0530">
            <w:pPr>
              <w:numPr>
                <w:ilvl w:val="0"/>
                <w:numId w:val="2"/>
              </w:numPr>
              <w:pBdr>
                <w:top w:val="nil"/>
                <w:left w:val="nil"/>
                <w:bottom w:val="nil"/>
                <w:right w:val="nil"/>
                <w:between w:val="nil"/>
              </w:pBdr>
              <w:rPr>
                <w:color w:val="000000"/>
              </w:rPr>
            </w:pPr>
            <w:r>
              <w:rPr>
                <w:color w:val="000000"/>
              </w:rPr>
              <w:t>法規名稱可用簡稱</w:t>
            </w:r>
            <w:r>
              <w:rPr>
                <w:color w:val="000000"/>
              </w:rPr>
              <w:t>(</w:t>
            </w:r>
            <w:r>
              <w:rPr>
                <w:color w:val="000000"/>
              </w:rPr>
              <w:t>如</w:t>
            </w:r>
            <w:r>
              <w:rPr>
                <w:color w:val="000000"/>
              </w:rPr>
              <w:t xml:space="preserve">: </w:t>
            </w:r>
            <w:r>
              <w:rPr>
                <w:color w:val="000000"/>
              </w:rPr>
              <w:t>本規程、本辦法、本準則</w:t>
            </w:r>
            <w:r>
              <w:rPr>
                <w:color w:val="000000"/>
              </w:rPr>
              <w:t>…</w:t>
            </w:r>
            <w:proofErr w:type="gramStart"/>
            <w:r>
              <w:rPr>
                <w:color w:val="000000"/>
              </w:rPr>
              <w:t>…</w:t>
            </w:r>
            <w:proofErr w:type="gramEnd"/>
            <w:r>
              <w:rPr>
                <w:color w:val="000000"/>
              </w:rPr>
              <w:t>等</w:t>
            </w:r>
            <w:r>
              <w:rPr>
                <w:color w:val="000000"/>
              </w:rPr>
              <w:t>)</w:t>
            </w:r>
            <w:r>
              <w:rPr>
                <w:color w:val="000000"/>
              </w:rPr>
              <w:t>或全稱。使用法規全稱時，後應加</w:t>
            </w:r>
            <w:r>
              <w:rPr>
                <w:color w:val="000000"/>
              </w:rPr>
              <w:t>(</w:t>
            </w:r>
            <w:r>
              <w:rPr>
                <w:color w:val="000000"/>
              </w:rPr>
              <w:t>下稱本</w:t>
            </w:r>
            <w:r>
              <w:rPr>
                <w:color w:val="000000"/>
              </w:rPr>
              <w:t>OO)</w:t>
            </w:r>
            <w:r>
              <w:rPr>
                <w:color w:val="000000"/>
              </w:rPr>
              <w:t>，做為法規簡稱。</w:t>
            </w:r>
          </w:p>
          <w:p w:rsidR="00903465" w:rsidRDefault="002A0530">
            <w:pPr>
              <w:numPr>
                <w:ilvl w:val="0"/>
                <w:numId w:val="2"/>
              </w:numPr>
              <w:pBdr>
                <w:top w:val="nil"/>
                <w:left w:val="nil"/>
                <w:bottom w:val="nil"/>
                <w:right w:val="nil"/>
                <w:between w:val="nil"/>
              </w:pBdr>
              <w:rPr>
                <w:color w:val="000000"/>
              </w:rPr>
            </w:pPr>
            <w:r>
              <w:rPr>
                <w:color w:val="000000"/>
              </w:rPr>
              <w:t>無論中文法規名稱第一次出現時是用全稱或簡稱，英</w:t>
            </w:r>
            <w:proofErr w:type="gramStart"/>
            <w:r>
              <w:rPr>
                <w:color w:val="000000"/>
              </w:rPr>
              <w:t>譯均須書寫</w:t>
            </w:r>
            <w:proofErr w:type="gramEnd"/>
            <w:r>
              <w:rPr>
                <w:color w:val="000000"/>
              </w:rPr>
              <w:t>法規全稱</w:t>
            </w:r>
            <w:r>
              <w:rPr>
                <w:color w:val="000000"/>
              </w:rPr>
              <w:t>(</w:t>
            </w:r>
            <w:r>
              <w:rPr>
                <w:color w:val="000000"/>
              </w:rPr>
              <w:t>斜體</w:t>
            </w:r>
            <w:r>
              <w:rPr>
                <w:color w:val="000000"/>
              </w:rPr>
              <w:t>)</w:t>
            </w:r>
            <w:r>
              <w:rPr>
                <w:color w:val="000000"/>
              </w:rPr>
              <w:t>，</w:t>
            </w:r>
          </w:p>
          <w:p w:rsidR="00903465" w:rsidRDefault="002A0530">
            <w:pPr>
              <w:numPr>
                <w:ilvl w:val="0"/>
                <w:numId w:val="4"/>
              </w:numPr>
              <w:pBdr>
                <w:top w:val="nil"/>
                <w:left w:val="nil"/>
                <w:bottom w:val="nil"/>
                <w:right w:val="nil"/>
                <w:between w:val="nil"/>
              </w:pBdr>
              <w:rPr>
                <w:color w:val="000000"/>
              </w:rPr>
            </w:pPr>
            <w:r>
              <w:rPr>
                <w:color w:val="000000"/>
                <w:highlight w:val="yellow"/>
              </w:rPr>
              <w:t>首條若無</w:t>
            </w:r>
            <w:r>
              <w:rPr>
                <w:color w:val="000000"/>
                <w:highlight w:val="yellow"/>
              </w:rPr>
              <w:t xml:space="preserve"> </w:t>
            </w:r>
            <w:proofErr w:type="gramStart"/>
            <w:r>
              <w:rPr>
                <w:color w:val="000000"/>
                <w:highlight w:val="yellow"/>
              </w:rPr>
              <w:t>”</w:t>
            </w:r>
            <w:proofErr w:type="gramEnd"/>
            <w:r>
              <w:rPr>
                <w:color w:val="000000"/>
                <w:highlight w:val="yellow"/>
              </w:rPr>
              <w:t>本校</w:t>
            </w:r>
            <w:proofErr w:type="gramStart"/>
            <w:r>
              <w:rPr>
                <w:color w:val="000000"/>
                <w:highlight w:val="yellow"/>
              </w:rPr>
              <w:t>”</w:t>
            </w:r>
            <w:proofErr w:type="gramEnd"/>
            <w:r>
              <w:rPr>
                <w:color w:val="000000"/>
                <w:highlight w:val="yellow"/>
              </w:rPr>
              <w:t xml:space="preserve"> </w:t>
            </w:r>
            <w:r>
              <w:rPr>
                <w:color w:val="000000"/>
                <w:highlight w:val="yellow"/>
              </w:rPr>
              <w:t>一詞，英譯法規全稱中之「國立臺灣大學」使用全名，並以冠詞</w:t>
            </w:r>
            <w:r>
              <w:rPr>
                <w:color w:val="000000"/>
                <w:highlight w:val="yellow"/>
              </w:rPr>
              <w:t>the</w:t>
            </w:r>
            <w:r>
              <w:rPr>
                <w:color w:val="000000"/>
                <w:highlight w:val="yellow"/>
              </w:rPr>
              <w:t>開頭，如</w:t>
            </w:r>
            <w:r>
              <w:rPr>
                <w:rFonts w:ascii="標楷體" w:eastAsia="標楷體" w:hAnsi="標楷體" w:cs="標楷體"/>
                <w:color w:val="000000"/>
                <w:highlight w:val="yellow"/>
              </w:rPr>
              <w:t xml:space="preserve"> </w:t>
            </w:r>
            <w:r>
              <w:rPr>
                <w:color w:val="000000"/>
                <w:highlight w:val="yellow"/>
              </w:rPr>
              <w:t>The</w:t>
            </w:r>
            <w:r>
              <w:rPr>
                <w:rFonts w:ascii="標楷體" w:eastAsia="標楷體" w:hAnsi="標楷體" w:cs="標楷體"/>
                <w:color w:val="000000"/>
                <w:highlight w:val="yellow"/>
              </w:rPr>
              <w:t xml:space="preserve"> </w:t>
            </w:r>
            <w:r>
              <w:rPr>
                <w:i/>
                <w:color w:val="000000"/>
                <w:highlight w:val="yellow"/>
              </w:rPr>
              <w:t>National Taiwan University Academic Regulations</w:t>
            </w:r>
            <w:r>
              <w:rPr>
                <w:color w:val="000000"/>
                <w:highlight w:val="yellow"/>
              </w:rPr>
              <w:t>。第</w:t>
            </w:r>
            <w:r>
              <w:rPr>
                <w:color w:val="000000"/>
                <w:highlight w:val="yellow"/>
              </w:rPr>
              <w:t>2</w:t>
            </w:r>
            <w:r>
              <w:rPr>
                <w:color w:val="000000"/>
                <w:highlight w:val="yellow"/>
              </w:rPr>
              <w:t>條出現</w:t>
            </w:r>
            <w:r>
              <w:rPr>
                <w:color w:val="000000"/>
                <w:highlight w:val="yellow"/>
              </w:rPr>
              <w:t xml:space="preserve"> “</w:t>
            </w:r>
            <w:r>
              <w:rPr>
                <w:color w:val="000000"/>
                <w:highlight w:val="yellow"/>
              </w:rPr>
              <w:t>本校</w:t>
            </w:r>
            <w:r>
              <w:rPr>
                <w:color w:val="000000"/>
                <w:highlight w:val="yellow"/>
              </w:rPr>
              <w:t>”</w:t>
            </w:r>
            <w:r>
              <w:rPr>
                <w:color w:val="000000"/>
                <w:highlight w:val="yellow"/>
              </w:rPr>
              <w:t>一詞時，依</w:t>
            </w:r>
            <w:r>
              <w:rPr>
                <w:color w:val="000000"/>
                <w:highlight w:val="yellow"/>
              </w:rPr>
              <w:t>3.</w:t>
            </w:r>
            <w:r>
              <w:rPr>
                <w:color w:val="000000"/>
                <w:highlight w:val="yellow"/>
              </w:rPr>
              <w:t>說明使用本校英譯簡稱。</w:t>
            </w:r>
          </w:p>
          <w:p w:rsidR="00903465" w:rsidRDefault="002A0530">
            <w:pPr>
              <w:numPr>
                <w:ilvl w:val="0"/>
                <w:numId w:val="4"/>
              </w:numPr>
              <w:pBdr>
                <w:top w:val="nil"/>
                <w:left w:val="nil"/>
                <w:bottom w:val="nil"/>
                <w:right w:val="nil"/>
                <w:between w:val="nil"/>
              </w:pBdr>
              <w:rPr>
                <w:color w:val="000000"/>
              </w:rPr>
            </w:pPr>
            <w:r>
              <w:rPr>
                <w:color w:val="000000"/>
                <w:highlight w:val="yellow"/>
              </w:rPr>
              <w:t>如首條已出現</w:t>
            </w:r>
            <w:r>
              <w:rPr>
                <w:color w:val="000000"/>
                <w:highlight w:val="yellow"/>
              </w:rPr>
              <w:t xml:space="preserve"> </w:t>
            </w:r>
            <w:proofErr w:type="gramStart"/>
            <w:r>
              <w:rPr>
                <w:color w:val="000000"/>
                <w:highlight w:val="yellow"/>
              </w:rPr>
              <w:t>”</w:t>
            </w:r>
            <w:proofErr w:type="gramEnd"/>
            <w:r>
              <w:rPr>
                <w:color w:val="000000"/>
                <w:highlight w:val="yellow"/>
              </w:rPr>
              <w:t>本校</w:t>
            </w:r>
            <w:proofErr w:type="gramStart"/>
            <w:r>
              <w:rPr>
                <w:color w:val="000000"/>
                <w:highlight w:val="yellow"/>
              </w:rPr>
              <w:t>”</w:t>
            </w:r>
            <w:proofErr w:type="gramEnd"/>
            <w:r>
              <w:rPr>
                <w:color w:val="000000"/>
                <w:highlight w:val="yellow"/>
              </w:rPr>
              <w:t xml:space="preserve"> </w:t>
            </w:r>
            <w:r>
              <w:rPr>
                <w:color w:val="000000"/>
                <w:highlight w:val="yellow"/>
              </w:rPr>
              <w:t>一詞，</w:t>
            </w:r>
            <w:r>
              <w:rPr>
                <w:color w:val="000000"/>
              </w:rPr>
              <w:t>英譯法規全稱中之「國立臺灣大學」使用</w:t>
            </w:r>
            <w:r>
              <w:rPr>
                <w:color w:val="000000"/>
              </w:rPr>
              <w:t>NTU</w:t>
            </w:r>
            <w:r>
              <w:rPr>
                <w:color w:val="000000"/>
              </w:rPr>
              <w:t>縮寫，並以冠詞</w:t>
            </w:r>
            <w:r>
              <w:rPr>
                <w:color w:val="000000"/>
              </w:rPr>
              <w:t>the</w:t>
            </w:r>
            <w:r>
              <w:rPr>
                <w:color w:val="000000"/>
              </w:rPr>
              <w:t>開頭，如</w:t>
            </w:r>
            <w:r>
              <w:rPr>
                <w:rFonts w:ascii="標楷體" w:eastAsia="標楷體" w:hAnsi="標楷體" w:cs="標楷體"/>
                <w:color w:val="000000"/>
              </w:rPr>
              <w:t xml:space="preserve">the </w:t>
            </w:r>
            <w:r>
              <w:rPr>
                <w:color w:val="000000"/>
              </w:rPr>
              <w:t xml:space="preserve">NTU </w:t>
            </w:r>
            <w:r>
              <w:rPr>
                <w:i/>
                <w:color w:val="000000"/>
              </w:rPr>
              <w:t>Academic Regulations</w:t>
            </w:r>
            <w:r>
              <w:rPr>
                <w:color w:val="000000"/>
              </w:rPr>
              <w:t>，其後使用則使用英譯法規簡稱。</w:t>
            </w:r>
          </w:p>
          <w:p w:rsidR="00903465" w:rsidRDefault="002A0530">
            <w:pPr>
              <w:numPr>
                <w:ilvl w:val="0"/>
                <w:numId w:val="2"/>
              </w:numPr>
              <w:pBdr>
                <w:top w:val="nil"/>
                <w:left w:val="nil"/>
                <w:bottom w:val="nil"/>
                <w:right w:val="nil"/>
                <w:between w:val="nil"/>
              </w:pBdr>
              <w:rPr>
                <w:color w:val="000000"/>
              </w:rPr>
            </w:pPr>
            <w:r>
              <w:rPr>
                <w:color w:val="000000"/>
              </w:rPr>
              <w:t>本校簡稱或法規</w:t>
            </w:r>
            <w:proofErr w:type="gramStart"/>
            <w:r>
              <w:rPr>
                <w:color w:val="000000"/>
              </w:rPr>
              <w:t>簡稱均以</w:t>
            </w:r>
            <w:proofErr w:type="gramEnd"/>
            <w:r>
              <w:rPr>
                <w:color w:val="000000"/>
              </w:rPr>
              <w:t>｢下稱｣引出，相關英譯原則說明如下：</w:t>
            </w:r>
          </w:p>
          <w:p w:rsidR="00903465" w:rsidRDefault="002A0530">
            <w:pPr>
              <w:numPr>
                <w:ilvl w:val="0"/>
                <w:numId w:val="3"/>
              </w:numPr>
              <w:pBdr>
                <w:top w:val="nil"/>
                <w:left w:val="nil"/>
                <w:bottom w:val="nil"/>
                <w:right w:val="nil"/>
                <w:between w:val="nil"/>
              </w:pBdr>
              <w:rPr>
                <w:color w:val="000000"/>
              </w:rPr>
            </w:pPr>
            <w:r>
              <w:rPr>
                <w:color w:val="000000"/>
              </w:rPr>
              <w:t>對應｢下稱｣的英譯省略，僅以</w:t>
            </w:r>
            <w:r>
              <w:rPr>
                <w:color w:val="000000"/>
              </w:rPr>
              <w:t>(  )</w:t>
            </w:r>
            <w:r>
              <w:rPr>
                <w:color w:val="000000"/>
              </w:rPr>
              <w:t>代之。</w:t>
            </w:r>
          </w:p>
          <w:p w:rsidR="00903465" w:rsidRDefault="002A0530">
            <w:pPr>
              <w:numPr>
                <w:ilvl w:val="0"/>
                <w:numId w:val="3"/>
              </w:numPr>
              <w:pBdr>
                <w:top w:val="nil"/>
                <w:left w:val="nil"/>
                <w:bottom w:val="nil"/>
                <w:right w:val="nil"/>
                <w:between w:val="nil"/>
              </w:pBdr>
              <w:rPr>
                <w:color w:val="000000"/>
              </w:rPr>
            </w:pPr>
            <w:r>
              <w:rPr>
                <w:color w:val="000000"/>
              </w:rPr>
              <w:t>本校簡稱之英譯可依法規內文需要，使用</w:t>
            </w:r>
            <w:r>
              <w:rPr>
                <w:color w:val="000000"/>
              </w:rPr>
              <w:t>NTU</w:t>
            </w:r>
            <w:r>
              <w:rPr>
                <w:color w:val="000000"/>
              </w:rPr>
              <w:t>、</w:t>
            </w:r>
            <w:r>
              <w:rPr>
                <w:color w:val="000000"/>
              </w:rPr>
              <w:t>the University</w:t>
            </w:r>
            <w:r>
              <w:rPr>
                <w:color w:val="000000"/>
              </w:rPr>
              <w:t>、</w:t>
            </w:r>
            <w:r>
              <w:rPr>
                <w:color w:val="000000"/>
              </w:rPr>
              <w:t>NTU or the University</w:t>
            </w:r>
            <w:r>
              <w:rPr>
                <w:color w:val="000000"/>
              </w:rPr>
              <w:t>。</w:t>
            </w:r>
            <w:r>
              <w:rPr>
                <w:color w:val="000000"/>
                <w:highlight w:val="cyan"/>
              </w:rPr>
              <w:t>若使用</w:t>
            </w:r>
            <w:r>
              <w:rPr>
                <w:color w:val="000000"/>
                <w:highlight w:val="cyan"/>
              </w:rPr>
              <w:t>the University</w:t>
            </w:r>
            <w:r>
              <w:rPr>
                <w:color w:val="000000"/>
                <w:highlight w:val="cyan"/>
              </w:rPr>
              <w:t>者，應冠以雙引號「</w:t>
            </w:r>
            <w:proofErr w:type="gramStart"/>
            <w:r>
              <w:rPr>
                <w:color w:val="000000"/>
                <w:highlight w:val="cyan"/>
              </w:rPr>
              <w:t>”</w:t>
            </w:r>
            <w:proofErr w:type="gramEnd"/>
            <w:r>
              <w:rPr>
                <w:color w:val="000000"/>
                <w:highlight w:val="cyan"/>
              </w:rPr>
              <w:t xml:space="preserve"> the University</w:t>
            </w:r>
            <w:proofErr w:type="gramStart"/>
            <w:r>
              <w:rPr>
                <w:color w:val="000000"/>
                <w:highlight w:val="cyan"/>
              </w:rPr>
              <w:t>”</w:t>
            </w:r>
            <w:proofErr w:type="gramEnd"/>
            <w:r>
              <w:rPr>
                <w:rFonts w:ascii="新細明體" w:eastAsia="新細明體" w:hAnsi="新細明體" w:cs="新細明體"/>
                <w:color w:val="000000"/>
                <w:highlight w:val="cyan"/>
              </w:rPr>
              <w:t>」</w:t>
            </w:r>
            <w:r>
              <w:rPr>
                <w:rFonts w:ascii="新細明體" w:eastAsia="新細明體" w:hAnsi="新細明體" w:cs="新細明體"/>
                <w:color w:val="000000"/>
              </w:rPr>
              <w:t>。</w:t>
            </w:r>
          </w:p>
          <w:p w:rsidR="00903465" w:rsidRDefault="002A0530">
            <w:pPr>
              <w:numPr>
                <w:ilvl w:val="0"/>
                <w:numId w:val="3"/>
              </w:numPr>
              <w:pBdr>
                <w:top w:val="nil"/>
                <w:left w:val="nil"/>
                <w:bottom w:val="nil"/>
                <w:right w:val="nil"/>
                <w:between w:val="nil"/>
              </w:pBdr>
              <w:rPr>
                <w:color w:val="000000"/>
              </w:rPr>
            </w:pPr>
            <w:r>
              <w:rPr>
                <w:color w:val="000000"/>
              </w:rPr>
              <w:t>法規簡稱之英譯，請對照第</w:t>
            </w:r>
            <w:r>
              <w:rPr>
                <w:color w:val="000000"/>
              </w:rPr>
              <w:t>4</w:t>
            </w:r>
            <w:r>
              <w:rPr>
                <w:color w:val="000000"/>
              </w:rPr>
              <w:t>點原則書寫，且</w:t>
            </w:r>
            <w:r>
              <w:rPr>
                <w:color w:val="000000"/>
                <w:highlight w:val="cyan"/>
              </w:rPr>
              <w:t>應冠以雙引號，如</w:t>
            </w:r>
            <w:proofErr w:type="gramStart"/>
            <w:r>
              <w:rPr>
                <w:color w:val="000000"/>
                <w:highlight w:val="cyan"/>
              </w:rPr>
              <w:t>”</w:t>
            </w:r>
            <w:proofErr w:type="gramEnd"/>
            <w:r>
              <w:rPr>
                <w:color w:val="000000"/>
                <w:highlight w:val="cyan"/>
              </w:rPr>
              <w:t xml:space="preserve"> the Regulations</w:t>
            </w:r>
            <w:proofErr w:type="gramStart"/>
            <w:r>
              <w:rPr>
                <w:color w:val="000000"/>
                <w:highlight w:val="cyan"/>
              </w:rPr>
              <w:t>”</w:t>
            </w:r>
            <w:proofErr w:type="gramEnd"/>
            <w:r>
              <w:rPr>
                <w:color w:val="000000"/>
              </w:rPr>
              <w:t>。</w:t>
            </w:r>
          </w:p>
          <w:p w:rsidR="00903465" w:rsidRDefault="002A0530">
            <w:pPr>
              <w:numPr>
                <w:ilvl w:val="0"/>
                <w:numId w:val="2"/>
              </w:numPr>
              <w:pBdr>
                <w:top w:val="nil"/>
                <w:left w:val="nil"/>
                <w:bottom w:val="nil"/>
                <w:right w:val="nil"/>
                <w:between w:val="nil"/>
              </w:pBdr>
              <w:rPr>
                <w:color w:val="000000"/>
              </w:rPr>
            </w:pPr>
            <w:r>
              <w:rPr>
                <w:color w:val="000000"/>
              </w:rPr>
              <w:t>中英文</w:t>
            </w:r>
            <w:proofErr w:type="gramStart"/>
            <w:r>
              <w:rPr>
                <w:color w:val="000000"/>
              </w:rPr>
              <w:t>法規類稱</w:t>
            </w:r>
            <w:proofErr w:type="gramEnd"/>
            <w:r>
              <w:rPr>
                <w:color w:val="000000"/>
              </w:rPr>
              <w:t>、簡稱及搭配動詞</w:t>
            </w:r>
          </w:p>
          <w:p w:rsidR="00903465" w:rsidRDefault="002A0530">
            <w:pPr>
              <w:numPr>
                <w:ilvl w:val="0"/>
                <w:numId w:val="1"/>
              </w:numPr>
              <w:pBdr>
                <w:top w:val="nil"/>
                <w:left w:val="nil"/>
                <w:bottom w:val="nil"/>
                <w:right w:val="nil"/>
                <w:between w:val="nil"/>
              </w:pBdr>
              <w:rPr>
                <w:color w:val="000000"/>
              </w:rPr>
            </w:pPr>
            <w:r>
              <w:rPr>
                <w:color w:val="000000"/>
              </w:rPr>
              <w:t>不同的中文</w:t>
            </w:r>
            <w:proofErr w:type="gramStart"/>
            <w:r>
              <w:rPr>
                <w:color w:val="000000"/>
              </w:rPr>
              <w:t>法規類稱對應</w:t>
            </w:r>
            <w:proofErr w:type="gramEnd"/>
            <w:r>
              <w:rPr>
                <w:color w:val="000000"/>
              </w:rPr>
              <w:t>不同的英譯</w:t>
            </w:r>
            <w:proofErr w:type="gramStart"/>
            <w:r>
              <w:rPr>
                <w:color w:val="000000"/>
              </w:rPr>
              <w:t>法規類稱</w:t>
            </w:r>
            <w:proofErr w:type="gramEnd"/>
            <w:r>
              <w:rPr>
                <w:color w:val="000000"/>
              </w:rPr>
              <w:t>，詳下列對照表。</w:t>
            </w:r>
          </w:p>
          <w:p w:rsidR="00903465" w:rsidRDefault="002A0530">
            <w:pPr>
              <w:numPr>
                <w:ilvl w:val="0"/>
                <w:numId w:val="1"/>
              </w:numPr>
              <w:pBdr>
                <w:top w:val="nil"/>
                <w:left w:val="nil"/>
                <w:bottom w:val="nil"/>
                <w:right w:val="nil"/>
                <w:between w:val="nil"/>
              </w:pBdr>
              <w:rPr>
                <w:color w:val="000000"/>
              </w:rPr>
            </w:pPr>
            <w:r>
              <w:rPr>
                <w:color w:val="000000"/>
              </w:rPr>
              <w:t>不同的中文法規簡稱對應不同的英譯法規簡稱</w:t>
            </w:r>
            <w:r>
              <w:rPr>
                <w:color w:val="000000"/>
              </w:rPr>
              <w:t xml:space="preserve"> (</w:t>
            </w:r>
            <w:r>
              <w:rPr>
                <w:color w:val="000000"/>
              </w:rPr>
              <w:t>如</w:t>
            </w:r>
            <w:r>
              <w:rPr>
                <w:rFonts w:ascii="標楷體" w:eastAsia="標楷體" w:hAnsi="標楷體" w:cs="標楷體"/>
                <w:color w:val="000000"/>
              </w:rPr>
              <w:t>：</w:t>
            </w:r>
            <w:r>
              <w:rPr>
                <w:color w:val="000000"/>
              </w:rPr>
              <w:t>「本辦法」對應</w:t>
            </w:r>
            <w:r>
              <w:rPr>
                <w:color w:val="000000"/>
              </w:rPr>
              <w:t>the Regulations)</w:t>
            </w:r>
            <w:r>
              <w:rPr>
                <w:color w:val="000000"/>
              </w:rPr>
              <w:t>。</w:t>
            </w:r>
          </w:p>
          <w:p w:rsidR="00903465" w:rsidRDefault="002A0530">
            <w:pPr>
              <w:numPr>
                <w:ilvl w:val="0"/>
                <w:numId w:val="1"/>
              </w:numPr>
              <w:pBdr>
                <w:top w:val="nil"/>
                <w:left w:val="nil"/>
                <w:bottom w:val="nil"/>
                <w:right w:val="nil"/>
                <w:between w:val="nil"/>
              </w:pBdr>
              <w:rPr>
                <w:color w:val="000000"/>
              </w:rPr>
            </w:pPr>
            <w:r>
              <w:rPr>
                <w:color w:val="000000"/>
              </w:rPr>
              <w:t>依不同</w:t>
            </w:r>
            <w:proofErr w:type="gramStart"/>
            <w:r>
              <w:rPr>
                <w:color w:val="000000"/>
              </w:rPr>
              <w:t>法規類稱</w:t>
            </w:r>
            <w:proofErr w:type="gramEnd"/>
            <w:r>
              <w:rPr>
                <w:color w:val="000000"/>
              </w:rPr>
              <w:t>，｢訂定｣一詞須搭配不同的英文動詞</w:t>
            </w:r>
            <w:r>
              <w:rPr>
                <w:color w:val="000000"/>
              </w:rPr>
              <w:t xml:space="preserve"> (</w:t>
            </w:r>
            <w:r>
              <w:rPr>
                <w:color w:val="000000"/>
              </w:rPr>
              <w:t>如</w:t>
            </w:r>
            <w:r>
              <w:rPr>
                <w:rFonts w:ascii="標楷體" w:eastAsia="標楷體" w:hAnsi="標楷體" w:cs="標楷體"/>
                <w:color w:val="000000"/>
              </w:rPr>
              <w:t>：</w:t>
            </w:r>
            <w:r>
              <w:rPr>
                <w:color w:val="000000"/>
              </w:rPr>
              <w:t>Regulations</w:t>
            </w:r>
            <w:r>
              <w:rPr>
                <w:color w:val="000000"/>
              </w:rPr>
              <w:t>，使用</w:t>
            </w:r>
            <w:r>
              <w:rPr>
                <w:color w:val="000000"/>
              </w:rPr>
              <w:t>formulate)</w:t>
            </w:r>
          </w:p>
          <w:p w:rsidR="00903465" w:rsidRDefault="00903465">
            <w:pPr>
              <w:pBdr>
                <w:top w:val="nil"/>
                <w:left w:val="nil"/>
                <w:bottom w:val="nil"/>
                <w:right w:val="nil"/>
                <w:between w:val="nil"/>
              </w:pBdr>
              <w:ind w:left="720"/>
              <w:rPr>
                <w:color w:val="000000"/>
              </w:rPr>
            </w:pPr>
          </w:p>
          <w:tbl>
            <w:tblPr>
              <w:tblStyle w:val="aff0"/>
              <w:tblW w:w="8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5"/>
              <w:gridCol w:w="2990"/>
              <w:gridCol w:w="2790"/>
            </w:tblGrid>
            <w:tr w:rsidR="00903465">
              <w:tc>
                <w:tcPr>
                  <w:tcW w:w="2765" w:type="dxa"/>
                  <w:shd w:val="clear" w:color="auto" w:fill="D0CECE"/>
                </w:tcPr>
                <w:p w:rsidR="00903465" w:rsidRDefault="002A0530">
                  <w:pPr>
                    <w:jc w:val="center"/>
                  </w:pPr>
                  <w:r>
                    <w:t>中文</w:t>
                  </w:r>
                  <w:proofErr w:type="gramStart"/>
                  <w:r>
                    <w:t>法規類稱</w:t>
                  </w:r>
                  <w:proofErr w:type="gramEnd"/>
                </w:p>
              </w:tc>
              <w:tc>
                <w:tcPr>
                  <w:tcW w:w="2990" w:type="dxa"/>
                  <w:shd w:val="clear" w:color="auto" w:fill="D0CECE"/>
                </w:tcPr>
                <w:p w:rsidR="00903465" w:rsidRDefault="002A0530">
                  <w:pPr>
                    <w:jc w:val="center"/>
                  </w:pPr>
                  <w:r>
                    <w:t>英譯</w:t>
                  </w:r>
                  <w:proofErr w:type="gramStart"/>
                  <w:r>
                    <w:t>法規類稱</w:t>
                  </w:r>
                  <w:proofErr w:type="gramEnd"/>
                </w:p>
              </w:tc>
              <w:tc>
                <w:tcPr>
                  <w:tcW w:w="2790" w:type="dxa"/>
                  <w:shd w:val="clear" w:color="auto" w:fill="D0CECE"/>
                </w:tcPr>
                <w:p w:rsidR="00903465" w:rsidRDefault="002A0530">
                  <w:pPr>
                    <w:jc w:val="center"/>
                  </w:pPr>
                  <w:r>
                    <w:t>｢訂定｣動詞</w:t>
                  </w:r>
                </w:p>
              </w:tc>
            </w:tr>
            <w:tr w:rsidR="00903465">
              <w:tc>
                <w:tcPr>
                  <w:tcW w:w="2765" w:type="dxa"/>
                </w:tcPr>
                <w:p w:rsidR="00903465" w:rsidRDefault="002A0530">
                  <w:pPr>
                    <w:jc w:val="center"/>
                  </w:pPr>
                  <w:r>
                    <w:t>規程</w:t>
                  </w:r>
                </w:p>
              </w:tc>
              <w:tc>
                <w:tcPr>
                  <w:tcW w:w="2990" w:type="dxa"/>
                </w:tcPr>
                <w:p w:rsidR="00903465" w:rsidRDefault="002A0530">
                  <w:pPr>
                    <w:jc w:val="center"/>
                  </w:pPr>
                  <w:r>
                    <w:t>Organizational Regulations</w:t>
                  </w:r>
                </w:p>
              </w:tc>
              <w:tc>
                <w:tcPr>
                  <w:tcW w:w="2790" w:type="dxa"/>
                </w:tcPr>
                <w:p w:rsidR="00903465" w:rsidRDefault="002A0530">
                  <w:pPr>
                    <w:jc w:val="center"/>
                  </w:pPr>
                  <w:r>
                    <w:t>establish</w:t>
                  </w:r>
                </w:p>
              </w:tc>
            </w:tr>
            <w:tr w:rsidR="00903465">
              <w:tc>
                <w:tcPr>
                  <w:tcW w:w="2765" w:type="dxa"/>
                </w:tcPr>
                <w:p w:rsidR="00903465" w:rsidRDefault="002A0530">
                  <w:pPr>
                    <w:jc w:val="center"/>
                  </w:pPr>
                  <w:r>
                    <w:t>準則</w:t>
                  </w:r>
                </w:p>
              </w:tc>
              <w:tc>
                <w:tcPr>
                  <w:tcW w:w="2990" w:type="dxa"/>
                </w:tcPr>
                <w:p w:rsidR="00903465" w:rsidRDefault="002A0530">
                  <w:pPr>
                    <w:jc w:val="center"/>
                  </w:pPr>
                  <w:r>
                    <w:t>Guidelines</w:t>
                  </w:r>
                </w:p>
              </w:tc>
              <w:tc>
                <w:tcPr>
                  <w:tcW w:w="2790" w:type="dxa"/>
                </w:tcPr>
                <w:p w:rsidR="00903465" w:rsidRDefault="002A0530">
                  <w:pPr>
                    <w:jc w:val="center"/>
                  </w:pPr>
                  <w:r>
                    <w:t>formulate</w:t>
                  </w:r>
                </w:p>
              </w:tc>
            </w:tr>
            <w:tr w:rsidR="00903465">
              <w:tc>
                <w:tcPr>
                  <w:tcW w:w="2765" w:type="dxa"/>
                </w:tcPr>
                <w:p w:rsidR="00903465" w:rsidRDefault="002A0530">
                  <w:pPr>
                    <w:jc w:val="center"/>
                  </w:pPr>
                  <w:r>
                    <w:t>辦法</w:t>
                  </w:r>
                </w:p>
              </w:tc>
              <w:tc>
                <w:tcPr>
                  <w:tcW w:w="2990" w:type="dxa"/>
                </w:tcPr>
                <w:p w:rsidR="00903465" w:rsidRDefault="002A0530">
                  <w:pPr>
                    <w:jc w:val="center"/>
                  </w:pPr>
                  <w:r>
                    <w:t>Regulations</w:t>
                  </w:r>
                </w:p>
              </w:tc>
              <w:tc>
                <w:tcPr>
                  <w:tcW w:w="2790" w:type="dxa"/>
                </w:tcPr>
                <w:p w:rsidR="00903465" w:rsidRDefault="002A0530">
                  <w:pPr>
                    <w:jc w:val="center"/>
                  </w:pPr>
                  <w:r>
                    <w:t>formulate</w:t>
                  </w:r>
                </w:p>
              </w:tc>
            </w:tr>
            <w:tr w:rsidR="00903465">
              <w:tc>
                <w:tcPr>
                  <w:tcW w:w="2765" w:type="dxa"/>
                </w:tcPr>
                <w:p w:rsidR="00903465" w:rsidRDefault="002A0530">
                  <w:pPr>
                    <w:jc w:val="center"/>
                  </w:pPr>
                  <w:r>
                    <w:t>要點</w:t>
                  </w:r>
                </w:p>
              </w:tc>
              <w:tc>
                <w:tcPr>
                  <w:tcW w:w="2990" w:type="dxa"/>
                </w:tcPr>
                <w:p w:rsidR="00903465" w:rsidRDefault="002A0530">
                  <w:pPr>
                    <w:jc w:val="center"/>
                  </w:pPr>
                  <w:r>
                    <w:t>Directives</w:t>
                  </w:r>
                </w:p>
              </w:tc>
              <w:tc>
                <w:tcPr>
                  <w:tcW w:w="2790" w:type="dxa"/>
                </w:tcPr>
                <w:p w:rsidR="00903465" w:rsidRDefault="002A0530">
                  <w:pPr>
                    <w:jc w:val="center"/>
                  </w:pPr>
                  <w:r>
                    <w:t>formulate</w:t>
                  </w:r>
                </w:p>
              </w:tc>
            </w:tr>
            <w:tr w:rsidR="00903465">
              <w:tc>
                <w:tcPr>
                  <w:tcW w:w="2765" w:type="dxa"/>
                </w:tcPr>
                <w:p w:rsidR="00903465" w:rsidRDefault="002A0530">
                  <w:pPr>
                    <w:jc w:val="center"/>
                  </w:pPr>
                  <w:r>
                    <w:t>標準</w:t>
                  </w:r>
                </w:p>
              </w:tc>
              <w:tc>
                <w:tcPr>
                  <w:tcW w:w="2990" w:type="dxa"/>
                </w:tcPr>
                <w:p w:rsidR="00903465" w:rsidRDefault="002A0530">
                  <w:pPr>
                    <w:jc w:val="center"/>
                  </w:pPr>
                  <w:r>
                    <w:t>Standards</w:t>
                  </w:r>
                </w:p>
              </w:tc>
              <w:tc>
                <w:tcPr>
                  <w:tcW w:w="2790" w:type="dxa"/>
                </w:tcPr>
                <w:p w:rsidR="00903465" w:rsidRDefault="002A0530">
                  <w:pPr>
                    <w:jc w:val="center"/>
                  </w:pPr>
                  <w:r>
                    <w:t>set</w:t>
                  </w:r>
                </w:p>
              </w:tc>
            </w:tr>
            <w:tr w:rsidR="00903465">
              <w:tc>
                <w:tcPr>
                  <w:tcW w:w="2765" w:type="dxa"/>
                </w:tcPr>
                <w:p w:rsidR="00903465" w:rsidRDefault="002A0530">
                  <w:pPr>
                    <w:jc w:val="center"/>
                  </w:pPr>
                  <w:r>
                    <w:t>規則</w:t>
                  </w:r>
                </w:p>
              </w:tc>
              <w:tc>
                <w:tcPr>
                  <w:tcW w:w="2990" w:type="dxa"/>
                </w:tcPr>
                <w:p w:rsidR="00903465" w:rsidRDefault="002A0530">
                  <w:pPr>
                    <w:jc w:val="center"/>
                  </w:pPr>
                  <w:r>
                    <w:t>Rules</w:t>
                  </w:r>
                </w:p>
              </w:tc>
              <w:tc>
                <w:tcPr>
                  <w:tcW w:w="2790" w:type="dxa"/>
                </w:tcPr>
                <w:p w:rsidR="00903465" w:rsidRDefault="002A0530">
                  <w:pPr>
                    <w:jc w:val="center"/>
                  </w:pPr>
                  <w:r>
                    <w:t>formulate</w:t>
                  </w:r>
                </w:p>
              </w:tc>
            </w:tr>
            <w:tr w:rsidR="00903465">
              <w:tc>
                <w:tcPr>
                  <w:tcW w:w="2765" w:type="dxa"/>
                </w:tcPr>
                <w:p w:rsidR="00903465" w:rsidRDefault="002A0530">
                  <w:pPr>
                    <w:jc w:val="center"/>
                  </w:pPr>
                  <w:r>
                    <w:t>細則</w:t>
                  </w:r>
                </w:p>
              </w:tc>
              <w:tc>
                <w:tcPr>
                  <w:tcW w:w="2990" w:type="dxa"/>
                </w:tcPr>
                <w:p w:rsidR="00903465" w:rsidRDefault="002A0530">
                  <w:pPr>
                    <w:jc w:val="center"/>
                  </w:pPr>
                  <w:r>
                    <w:t>Specific Rules</w:t>
                  </w:r>
                </w:p>
              </w:tc>
              <w:tc>
                <w:tcPr>
                  <w:tcW w:w="2790" w:type="dxa"/>
                </w:tcPr>
                <w:p w:rsidR="00903465" w:rsidRDefault="002A0530">
                  <w:pPr>
                    <w:jc w:val="center"/>
                  </w:pPr>
                  <w:r>
                    <w:t>formulate</w:t>
                  </w:r>
                </w:p>
              </w:tc>
            </w:tr>
          </w:tbl>
          <w:p w:rsidR="00903465" w:rsidRDefault="00903465">
            <w:pPr>
              <w:pBdr>
                <w:top w:val="nil"/>
                <w:left w:val="nil"/>
                <w:bottom w:val="nil"/>
                <w:right w:val="nil"/>
                <w:between w:val="nil"/>
              </w:pBdr>
              <w:ind w:left="360"/>
              <w:rPr>
                <w:color w:val="000000"/>
              </w:rPr>
            </w:pPr>
          </w:p>
          <w:p w:rsidR="00903465" w:rsidRDefault="00903465">
            <w:pPr>
              <w:pBdr>
                <w:top w:val="nil"/>
                <w:left w:val="nil"/>
                <w:bottom w:val="nil"/>
                <w:right w:val="nil"/>
                <w:between w:val="nil"/>
              </w:pBdr>
              <w:ind w:left="360"/>
              <w:rPr>
                <w:color w:val="000000"/>
              </w:rPr>
            </w:pPr>
          </w:p>
          <w:p w:rsidR="00903465" w:rsidRDefault="00903465">
            <w:pPr>
              <w:pBdr>
                <w:top w:val="nil"/>
                <w:left w:val="nil"/>
                <w:bottom w:val="nil"/>
                <w:right w:val="nil"/>
                <w:between w:val="nil"/>
              </w:pBdr>
              <w:ind w:left="360"/>
              <w:rPr>
                <w:color w:val="000000"/>
              </w:rPr>
            </w:pPr>
          </w:p>
          <w:p w:rsidR="00903465" w:rsidRDefault="00903465">
            <w:pPr>
              <w:pBdr>
                <w:top w:val="nil"/>
                <w:left w:val="nil"/>
                <w:bottom w:val="nil"/>
                <w:right w:val="nil"/>
                <w:between w:val="nil"/>
              </w:pBdr>
              <w:ind w:left="360"/>
              <w:rPr>
                <w:color w:val="000000"/>
              </w:rPr>
            </w:pPr>
          </w:p>
          <w:p w:rsidR="00903465" w:rsidRDefault="00903465">
            <w:pPr>
              <w:pBdr>
                <w:top w:val="nil"/>
                <w:left w:val="nil"/>
                <w:bottom w:val="nil"/>
                <w:right w:val="nil"/>
                <w:between w:val="nil"/>
              </w:pBdr>
              <w:ind w:left="360"/>
              <w:rPr>
                <w:color w:val="000000"/>
              </w:rPr>
            </w:pPr>
          </w:p>
          <w:p w:rsidR="00903465" w:rsidRDefault="00903465">
            <w:pPr>
              <w:pBdr>
                <w:top w:val="nil"/>
                <w:left w:val="nil"/>
                <w:bottom w:val="nil"/>
                <w:right w:val="nil"/>
                <w:between w:val="nil"/>
              </w:pBdr>
              <w:ind w:left="360"/>
              <w:rPr>
                <w:color w:val="000000"/>
              </w:rPr>
            </w:pPr>
          </w:p>
          <w:p w:rsidR="00903465" w:rsidRDefault="00903465">
            <w:pPr>
              <w:pBdr>
                <w:top w:val="nil"/>
                <w:left w:val="nil"/>
                <w:bottom w:val="nil"/>
                <w:right w:val="nil"/>
                <w:between w:val="nil"/>
              </w:pBdr>
              <w:ind w:left="360"/>
              <w:rPr>
                <w:color w:val="000000"/>
              </w:rPr>
            </w:pPr>
          </w:p>
          <w:p w:rsidR="00903465" w:rsidRDefault="00903465">
            <w:pPr>
              <w:pBdr>
                <w:top w:val="nil"/>
                <w:left w:val="nil"/>
                <w:bottom w:val="nil"/>
                <w:right w:val="nil"/>
                <w:between w:val="nil"/>
              </w:pBdr>
              <w:ind w:left="360"/>
              <w:rPr>
                <w:color w:val="000000"/>
              </w:rPr>
            </w:pPr>
          </w:p>
          <w:p w:rsidR="00903465" w:rsidRDefault="00903465">
            <w:pPr>
              <w:pBdr>
                <w:top w:val="nil"/>
                <w:left w:val="nil"/>
                <w:bottom w:val="nil"/>
                <w:right w:val="nil"/>
                <w:between w:val="nil"/>
              </w:pBdr>
              <w:ind w:left="360"/>
              <w:rPr>
                <w:color w:val="000000"/>
              </w:rPr>
            </w:pPr>
          </w:p>
          <w:p w:rsidR="00903465" w:rsidRDefault="002A0530">
            <w:r>
              <w:t xml:space="preserve">5. </w:t>
            </w:r>
            <w:r>
              <w:t>中文條次寫法，</w:t>
            </w:r>
            <w:proofErr w:type="gramStart"/>
            <w:r>
              <w:t>應依條數</w:t>
            </w:r>
            <w:proofErr w:type="gramEnd"/>
            <w:r>
              <w:t>及連續與否而有所不同，如下：</w:t>
            </w:r>
          </w:p>
          <w:p w:rsidR="00903465" w:rsidRDefault="002A0530">
            <w:r>
              <w:t xml:space="preserve">  (1)</w:t>
            </w:r>
            <w:r>
              <w:t>單一條次：第</w:t>
            </w:r>
            <w:r>
              <w:t>OO</w:t>
            </w:r>
            <w:r>
              <w:t>條。</w:t>
            </w:r>
          </w:p>
          <w:p w:rsidR="00903465" w:rsidRDefault="002A0530">
            <w:pPr>
              <w:ind w:left="600" w:hanging="355"/>
            </w:pPr>
            <w:r>
              <w:t>(2)</w:t>
            </w:r>
            <w:r>
              <w:t>不連續多條次：第</w:t>
            </w:r>
            <w:r>
              <w:t>OO</w:t>
            </w:r>
            <w:r>
              <w:t>、</w:t>
            </w:r>
            <w:r>
              <w:t>OO</w:t>
            </w:r>
            <w:r>
              <w:t>、</w:t>
            </w:r>
            <w:r>
              <w:t>OO</w:t>
            </w:r>
            <w:r>
              <w:t>條，中文條次之間以頓號分開。</w:t>
            </w:r>
          </w:p>
          <w:p w:rsidR="00903465" w:rsidRDefault="002A0530">
            <w:r>
              <w:t xml:space="preserve">  (3)</w:t>
            </w:r>
            <w:r>
              <w:t>連續多條次：第</w:t>
            </w:r>
            <w:r>
              <w:t>OO</w:t>
            </w:r>
            <w:r>
              <w:t>至</w:t>
            </w:r>
            <w:r>
              <w:t>OO</w:t>
            </w:r>
            <w:r>
              <w:t>條。</w:t>
            </w:r>
          </w:p>
          <w:p w:rsidR="00903465" w:rsidRDefault="002A0530">
            <w:r>
              <w:t xml:space="preserve">6. </w:t>
            </w:r>
            <w:r>
              <w:t>英文條次寫法，</w:t>
            </w:r>
            <w:proofErr w:type="gramStart"/>
            <w:r>
              <w:t>應依條數</w:t>
            </w:r>
            <w:proofErr w:type="gramEnd"/>
            <w:r>
              <w:t>及連續與否而有所不同，如下：</w:t>
            </w:r>
          </w:p>
          <w:p w:rsidR="00903465" w:rsidRDefault="002A0530">
            <w:pPr>
              <w:ind w:left="509" w:hanging="252"/>
            </w:pPr>
            <w:r>
              <w:t>(1)</w:t>
            </w:r>
            <w:r>
              <w:t>單一條次：</w:t>
            </w:r>
            <w:r>
              <w:t>Article OO</w:t>
            </w:r>
            <w:r>
              <w:t>。</w:t>
            </w:r>
          </w:p>
          <w:p w:rsidR="00903465" w:rsidRDefault="002A0530">
            <w:pPr>
              <w:ind w:left="509" w:hanging="252"/>
            </w:pPr>
            <w:r>
              <w:t>(2)</w:t>
            </w:r>
            <w:r>
              <w:t>兩條次：</w:t>
            </w:r>
            <w:r>
              <w:t>Articles OO and OO</w:t>
            </w:r>
            <w:r>
              <w:t>。</w:t>
            </w:r>
          </w:p>
          <w:p w:rsidR="00903465" w:rsidRDefault="002A0530">
            <w:pPr>
              <w:ind w:left="509" w:hanging="252"/>
            </w:pPr>
            <w:r>
              <w:t>(3)</w:t>
            </w:r>
            <w:r>
              <w:t>不連續多條次：</w:t>
            </w:r>
            <w:r>
              <w:t>Articles OO, OO, and OO</w:t>
            </w:r>
            <w:r>
              <w:t>，條</w:t>
            </w:r>
            <w:proofErr w:type="gramStart"/>
            <w:r>
              <w:t>次間以半形</w:t>
            </w:r>
            <w:proofErr w:type="gramEnd"/>
            <w:r>
              <w:t>逗號連接，最後</w:t>
            </w:r>
            <w:r>
              <w:t>1</w:t>
            </w:r>
            <w:r>
              <w:t>條再以「</w:t>
            </w:r>
            <w:r>
              <w:t>, and</w:t>
            </w:r>
            <w:r>
              <w:t>」連接。</w:t>
            </w:r>
          </w:p>
          <w:p w:rsidR="00903465" w:rsidRDefault="002A0530">
            <w:pPr>
              <w:ind w:left="240" w:firstLine="1"/>
            </w:pPr>
            <w:r>
              <w:t>(4)</w:t>
            </w:r>
            <w:r>
              <w:t>連續多條次：</w:t>
            </w:r>
            <w:r>
              <w:t>Articles OO through OO</w:t>
            </w:r>
            <w:r>
              <w:t>。</w:t>
            </w:r>
          </w:p>
          <w:p w:rsidR="00903465" w:rsidRDefault="002A0530">
            <w:pPr>
              <w:ind w:left="216" w:hanging="216"/>
            </w:pPr>
            <w:r>
              <w:t xml:space="preserve">7. </w:t>
            </w:r>
            <w:r>
              <w:t>法源依據英譯時，</w:t>
            </w:r>
            <w:proofErr w:type="gramStart"/>
            <w:r>
              <w:t>需寫全稱</w:t>
            </w:r>
            <w:proofErr w:type="gramEnd"/>
            <w:r>
              <w:t>且斜體；法源若為本校法規，英譯時本校名稱以簡稱代之。</w:t>
            </w:r>
          </w:p>
          <w:p w:rsidR="00903465" w:rsidRDefault="002A0530">
            <w:pPr>
              <w:ind w:left="216" w:hanging="216"/>
            </w:pPr>
            <w:r>
              <w:t>8.</w:t>
            </w:r>
            <w:r>
              <w:t>訂定主體名稱可使用單位簡稱（如本校、本處、本院、本系所等）或單位全銜</w:t>
            </w:r>
            <w:r>
              <w:t>(</w:t>
            </w:r>
            <w:r>
              <w:t>如</w:t>
            </w:r>
            <w:r>
              <w:t>:</w:t>
            </w:r>
            <w:r>
              <w:t>國立臺灣大學</w:t>
            </w:r>
            <w:r>
              <w:t xml:space="preserve">) </w:t>
            </w:r>
            <w:r>
              <w:t>。使用單位</w:t>
            </w:r>
            <w:proofErr w:type="gramStart"/>
            <w:r>
              <w:t>全銜時</w:t>
            </w:r>
            <w:proofErr w:type="gramEnd"/>
            <w:r>
              <w:t>，後應加</w:t>
            </w:r>
            <w:r>
              <w:t>(</w:t>
            </w:r>
            <w:r>
              <w:t>下稱本</w:t>
            </w:r>
            <w:r>
              <w:t>OO)</w:t>
            </w:r>
            <w:r>
              <w:t>，作為單位簡稱。</w:t>
            </w:r>
          </w:p>
          <w:p w:rsidR="00903465" w:rsidRDefault="002A0530">
            <w:pPr>
              <w:ind w:left="216" w:hanging="216"/>
              <w:rPr>
                <w:rFonts w:ascii="Times New Roman" w:eastAsia="Times New Roman" w:hAnsi="Times New Roman" w:cs="Times New Roman"/>
              </w:rPr>
            </w:pPr>
            <w:r>
              <w:t>9.</w:t>
            </w:r>
            <w:r>
              <w:t>本校簡稱之英譯，可依法規條文內容需求，書寫為</w:t>
            </w:r>
            <w:sdt>
              <w:sdtPr>
                <w:tag w:val="goog_rdk_48"/>
                <w:id w:val="-2044429442"/>
              </w:sdtPr>
              <w:sdtEndPr/>
              <w:sdtContent>
                <w:r>
                  <w:rPr>
                    <w:rFonts w:ascii="Gungsuh" w:eastAsia="Gungsuh" w:hAnsi="Gungsuh" w:cs="Gungsuh"/>
                  </w:rPr>
                  <w:t>NTU或the University。</w:t>
                </w:r>
              </w:sdtContent>
            </w:sdt>
            <w:r>
              <w:rPr>
                <w:highlight w:val="cyan"/>
              </w:rPr>
              <w:t>若使用</w:t>
            </w:r>
            <w:r>
              <w:rPr>
                <w:highlight w:val="cyan"/>
              </w:rPr>
              <w:t>the University</w:t>
            </w:r>
            <w:r>
              <w:rPr>
                <w:highlight w:val="cyan"/>
              </w:rPr>
              <w:t>者，應冠以雙引號「</w:t>
            </w:r>
            <w:proofErr w:type="gramStart"/>
            <w:r>
              <w:rPr>
                <w:highlight w:val="cyan"/>
              </w:rPr>
              <w:t>”</w:t>
            </w:r>
            <w:proofErr w:type="gramEnd"/>
            <w:r>
              <w:rPr>
                <w:highlight w:val="cyan"/>
              </w:rPr>
              <w:t xml:space="preserve"> the University</w:t>
            </w:r>
            <w:proofErr w:type="gramStart"/>
            <w:r>
              <w:rPr>
                <w:highlight w:val="cyan"/>
              </w:rPr>
              <w:t>”</w:t>
            </w:r>
            <w:proofErr w:type="gramEnd"/>
            <w:r>
              <w:rPr>
                <w:rFonts w:ascii="新細明體" w:eastAsia="新細明體" w:hAnsi="新細明體" w:cs="新細明體"/>
                <w:highlight w:val="cyan"/>
              </w:rPr>
              <w:t>」</w:t>
            </w:r>
            <w:r>
              <w:rPr>
                <w:rFonts w:ascii="新細明體" w:eastAsia="新細明體" w:hAnsi="新細明體" w:cs="新細明體"/>
              </w:rPr>
              <w:t>。</w:t>
            </w:r>
            <w:r>
              <w:rPr>
                <w:rFonts w:ascii="Times New Roman" w:eastAsia="Times New Roman" w:hAnsi="Times New Roman" w:cs="Times New Roman"/>
              </w:rPr>
              <w:t xml:space="preserve"> </w:t>
            </w:r>
          </w:p>
          <w:p w:rsidR="00903465" w:rsidRDefault="002A0530">
            <w:pPr>
              <w:ind w:left="216" w:hanging="216"/>
              <w:rPr>
                <w:rFonts w:ascii="Times New Roman" w:eastAsia="Times New Roman" w:hAnsi="Times New Roman" w:cs="Times New Roman"/>
              </w:rPr>
            </w:pPr>
            <w:r>
              <w:rPr>
                <w:rFonts w:ascii="Times New Roman" w:eastAsia="Times New Roman" w:hAnsi="Times New Roman" w:cs="Times New Roman"/>
              </w:rPr>
              <w:t xml:space="preserve">10. </w:t>
            </w:r>
            <w:sdt>
              <w:sdtPr>
                <w:tag w:val="goog_rdk_49"/>
                <w:id w:val="-531419895"/>
              </w:sdtPr>
              <w:sdtEndPr/>
              <w:sdtContent>
                <w:r>
                  <w:rPr>
                    <w:rFonts w:ascii="Gungsuh" w:eastAsia="Gungsuh" w:hAnsi="Gungsuh" w:cs="Gungsuh"/>
                    <w:highlight w:val="yellow"/>
                  </w:rPr>
                  <w:t>(特)訂定之「特」字，無須英譯出</w:t>
                </w:r>
              </w:sdtContent>
            </w:sdt>
            <w:sdt>
              <w:sdtPr>
                <w:tag w:val="goog_rdk_50"/>
                <w:id w:val="3490582"/>
              </w:sdtPr>
              <w:sdtEndPr/>
              <w:sdtContent>
                <w:r>
                  <w:rPr>
                    <w:rFonts w:ascii="Gungsuh" w:eastAsia="Gungsuh" w:hAnsi="Gungsuh" w:cs="Gungsuh"/>
                  </w:rPr>
                  <w:t>。</w:t>
                </w:r>
              </w:sdtContent>
            </w:sdt>
          </w:p>
        </w:tc>
      </w:tr>
    </w:tbl>
    <w:p w:rsidR="00903465" w:rsidRDefault="00903465">
      <w:pPr>
        <w:widowControl/>
      </w:pPr>
    </w:p>
    <w:sectPr w:rsidR="00903465">
      <w:headerReference w:type="default" r:id="rId8"/>
      <w:footerReference w:type="default" r:id="rId9"/>
      <w:pgSz w:w="16838" w:h="11906" w:orient="landscape"/>
      <w:pgMar w:top="1418" w:right="1440" w:bottom="851" w:left="1440"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5CC" w:rsidRDefault="006765CC">
      <w:r>
        <w:separator/>
      </w:r>
    </w:p>
  </w:endnote>
  <w:endnote w:type="continuationSeparator" w:id="0">
    <w:p w:rsidR="006765CC" w:rsidRDefault="00676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ungsuh">
    <w:altName w:val="Times New Roman"/>
    <w:charset w:val="00"/>
    <w:family w:val="auto"/>
    <w:pitch w:val="default"/>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465" w:rsidRDefault="002A0530">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4B5D25">
      <w:rPr>
        <w:noProof/>
        <w:color w:val="000000"/>
        <w:sz w:val="20"/>
        <w:szCs w:val="20"/>
      </w:rPr>
      <w:t>5</w:t>
    </w:r>
    <w:r>
      <w:rPr>
        <w:color w:val="000000"/>
        <w:sz w:val="20"/>
        <w:szCs w:val="20"/>
      </w:rPr>
      <w:fldChar w:fldCharType="end"/>
    </w:r>
  </w:p>
  <w:p w:rsidR="00903465" w:rsidRDefault="00903465">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5CC" w:rsidRDefault="006765CC">
      <w:r>
        <w:separator/>
      </w:r>
    </w:p>
  </w:footnote>
  <w:footnote w:type="continuationSeparator" w:id="0">
    <w:p w:rsidR="006765CC" w:rsidRDefault="00676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465" w:rsidRDefault="002A0530">
    <w:pPr>
      <w:pBdr>
        <w:top w:val="nil"/>
        <w:left w:val="nil"/>
        <w:bottom w:val="nil"/>
        <w:right w:val="nil"/>
        <w:between w:val="nil"/>
      </w:pBdr>
      <w:tabs>
        <w:tab w:val="center" w:pos="4153"/>
        <w:tab w:val="right" w:pos="8306"/>
      </w:tabs>
      <w:jc w:val="right"/>
      <w:rPr>
        <w:color w:val="8496B0"/>
      </w:rPr>
    </w:pPr>
    <w:r>
      <w:rPr>
        <w:color w:val="8496B0"/>
      </w:rPr>
      <w:t xml:space="preserve"> 11</w:t>
    </w:r>
    <w:r w:rsidR="00424D63">
      <w:rPr>
        <w:color w:val="8496B0"/>
      </w:rPr>
      <w:t>1</w:t>
    </w:r>
    <w:r>
      <w:rPr>
        <w:color w:val="8496B0"/>
      </w:rPr>
      <w:t>.</w:t>
    </w:r>
    <w:r w:rsidR="00424D63">
      <w:rPr>
        <w:color w:val="8496B0"/>
      </w:rPr>
      <w:t>03</w:t>
    </w:r>
    <w:r>
      <w:rPr>
        <w:color w:val="8496B0"/>
      </w:rPr>
      <w:t>.</w:t>
    </w:r>
    <w:r w:rsidR="00424D63">
      <w:rPr>
        <w:color w:val="8496B0"/>
      </w:rPr>
      <w:t>31</w:t>
    </w:r>
    <w:r>
      <w:rPr>
        <w:color w:val="8496B0"/>
      </w:rPr>
      <w:t xml:space="preserve"> </w:t>
    </w:r>
  </w:p>
  <w:p w:rsidR="00903465" w:rsidRDefault="00903465">
    <w:pPr>
      <w:pBdr>
        <w:top w:val="nil"/>
        <w:left w:val="nil"/>
        <w:bottom w:val="nil"/>
        <w:right w:val="nil"/>
        <w:between w:val="nil"/>
      </w:pBdr>
      <w:tabs>
        <w:tab w:val="center" w:pos="4153"/>
        <w:tab w:val="right" w:pos="8306"/>
      </w:tabs>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7579E"/>
    <w:multiLevelType w:val="multilevel"/>
    <w:tmpl w:val="1186945E"/>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0947FAA"/>
    <w:multiLevelType w:val="multilevel"/>
    <w:tmpl w:val="07742AF6"/>
    <w:lvl w:ilvl="0">
      <w:start w:val="1"/>
      <w:numFmt w:val="decimal"/>
      <w:lvlText w:val="(%1)"/>
      <w:lvlJc w:val="left"/>
      <w:pPr>
        <w:ind w:left="720" w:hanging="360"/>
      </w:p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2" w15:restartNumberingAfterBreak="0">
    <w:nsid w:val="31C471B6"/>
    <w:multiLevelType w:val="multilevel"/>
    <w:tmpl w:val="5ADC43A4"/>
    <w:lvl w:ilvl="0">
      <w:start w:val="1"/>
      <w:numFmt w:val="decimal"/>
      <w:lvlText w:val="(%1)"/>
      <w:lvlJc w:val="left"/>
      <w:pPr>
        <w:ind w:left="720" w:hanging="360"/>
      </w:p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abstractNum w:abstractNumId="3" w15:restartNumberingAfterBreak="0">
    <w:nsid w:val="41907E51"/>
    <w:multiLevelType w:val="multilevel"/>
    <w:tmpl w:val="6AAA890E"/>
    <w:lvl w:ilvl="0">
      <w:start w:val="1"/>
      <w:numFmt w:val="decimal"/>
      <w:lvlText w:val="(%1)"/>
      <w:lvlJc w:val="left"/>
      <w:pPr>
        <w:ind w:left="720" w:hanging="360"/>
      </w:pPr>
      <w:rPr>
        <w:i w:val="0"/>
      </w:r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465"/>
    <w:rsid w:val="002A0530"/>
    <w:rsid w:val="00424D63"/>
    <w:rsid w:val="004B5D25"/>
    <w:rsid w:val="006765CC"/>
    <w:rsid w:val="009034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43A02A-9CE8-4826-BA51-C34C21D52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annotation text"/>
    <w:basedOn w:val="a"/>
    <w:link w:val="a5"/>
    <w:rsid w:val="00E610E1"/>
    <w:pPr>
      <w:adjustRightInd w:val="0"/>
      <w:spacing w:line="360" w:lineRule="atLeast"/>
      <w:textAlignment w:val="baseline"/>
    </w:pPr>
    <w:rPr>
      <w:rFonts w:ascii="Times New Roman" w:hAnsi="Times New Roman" w:cs="Times New Roman"/>
      <w:szCs w:val="20"/>
    </w:rPr>
  </w:style>
  <w:style w:type="character" w:customStyle="1" w:styleId="a5">
    <w:name w:val="註解文字 字元"/>
    <w:basedOn w:val="a0"/>
    <w:link w:val="a4"/>
    <w:rsid w:val="00E610E1"/>
    <w:rPr>
      <w:rFonts w:ascii="Times New Roman" w:eastAsia="新細明體" w:hAnsi="Times New Roman" w:cs="Times New Roman"/>
      <w:kern w:val="0"/>
      <w:szCs w:val="20"/>
    </w:rPr>
  </w:style>
  <w:style w:type="character" w:styleId="a6">
    <w:name w:val="annotation reference"/>
    <w:basedOn w:val="a0"/>
    <w:rsid w:val="00E610E1"/>
    <w:rPr>
      <w:sz w:val="18"/>
      <w:szCs w:val="18"/>
    </w:rPr>
  </w:style>
  <w:style w:type="paragraph" w:styleId="a7">
    <w:name w:val="footnote text"/>
    <w:basedOn w:val="a"/>
    <w:link w:val="a8"/>
    <w:semiHidden/>
    <w:unhideWhenUsed/>
    <w:rsid w:val="00E610E1"/>
    <w:pPr>
      <w:adjustRightInd w:val="0"/>
      <w:snapToGrid w:val="0"/>
      <w:spacing w:line="360" w:lineRule="atLeast"/>
      <w:textAlignment w:val="baseline"/>
    </w:pPr>
    <w:rPr>
      <w:rFonts w:ascii="Times New Roman" w:hAnsi="Times New Roman" w:cs="Times New Roman"/>
      <w:sz w:val="20"/>
      <w:szCs w:val="20"/>
    </w:rPr>
  </w:style>
  <w:style w:type="character" w:customStyle="1" w:styleId="a8">
    <w:name w:val="註腳文字 字元"/>
    <w:basedOn w:val="a0"/>
    <w:link w:val="a7"/>
    <w:semiHidden/>
    <w:rsid w:val="00E610E1"/>
    <w:rPr>
      <w:rFonts w:ascii="Times New Roman" w:eastAsia="新細明體" w:hAnsi="Times New Roman" w:cs="Times New Roman"/>
      <w:kern w:val="0"/>
      <w:sz w:val="20"/>
      <w:szCs w:val="20"/>
    </w:rPr>
  </w:style>
  <w:style w:type="character" w:styleId="a9">
    <w:name w:val="footnote reference"/>
    <w:basedOn w:val="a0"/>
    <w:semiHidden/>
    <w:unhideWhenUsed/>
    <w:rsid w:val="00E610E1"/>
    <w:rPr>
      <w:vertAlign w:val="superscript"/>
    </w:rPr>
  </w:style>
  <w:style w:type="paragraph" w:styleId="aa">
    <w:name w:val="Balloon Text"/>
    <w:basedOn w:val="a"/>
    <w:link w:val="ab"/>
    <w:uiPriority w:val="99"/>
    <w:semiHidden/>
    <w:unhideWhenUsed/>
    <w:rsid w:val="00E610E1"/>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610E1"/>
    <w:rPr>
      <w:rFonts w:asciiTheme="majorHAnsi" w:eastAsiaTheme="majorEastAsia" w:hAnsiTheme="majorHAnsi" w:cstheme="majorBidi"/>
      <w:sz w:val="18"/>
      <w:szCs w:val="18"/>
    </w:rPr>
  </w:style>
  <w:style w:type="paragraph" w:styleId="ac">
    <w:name w:val="List Paragraph"/>
    <w:basedOn w:val="a"/>
    <w:uiPriority w:val="34"/>
    <w:qFormat/>
    <w:rsid w:val="00042448"/>
    <w:pPr>
      <w:ind w:left="720"/>
      <w:contextualSpacing/>
    </w:pPr>
  </w:style>
  <w:style w:type="paragraph" w:styleId="ad">
    <w:name w:val="header"/>
    <w:basedOn w:val="a"/>
    <w:link w:val="ae"/>
    <w:uiPriority w:val="99"/>
    <w:unhideWhenUsed/>
    <w:rsid w:val="00B54853"/>
    <w:pPr>
      <w:tabs>
        <w:tab w:val="center" w:pos="4153"/>
        <w:tab w:val="right" w:pos="8306"/>
      </w:tabs>
      <w:snapToGrid w:val="0"/>
    </w:pPr>
    <w:rPr>
      <w:sz w:val="20"/>
      <w:szCs w:val="20"/>
    </w:rPr>
  </w:style>
  <w:style w:type="character" w:customStyle="1" w:styleId="ae">
    <w:name w:val="頁首 字元"/>
    <w:basedOn w:val="a0"/>
    <w:link w:val="ad"/>
    <w:uiPriority w:val="99"/>
    <w:rsid w:val="00B54853"/>
    <w:rPr>
      <w:sz w:val="20"/>
      <w:szCs w:val="20"/>
    </w:rPr>
  </w:style>
  <w:style w:type="paragraph" w:styleId="af">
    <w:name w:val="footer"/>
    <w:basedOn w:val="a"/>
    <w:link w:val="af0"/>
    <w:uiPriority w:val="99"/>
    <w:unhideWhenUsed/>
    <w:rsid w:val="00B54853"/>
    <w:pPr>
      <w:tabs>
        <w:tab w:val="center" w:pos="4153"/>
        <w:tab w:val="right" w:pos="8306"/>
      </w:tabs>
      <w:snapToGrid w:val="0"/>
    </w:pPr>
    <w:rPr>
      <w:sz w:val="20"/>
      <w:szCs w:val="20"/>
    </w:rPr>
  </w:style>
  <w:style w:type="character" w:customStyle="1" w:styleId="af0">
    <w:name w:val="頁尾 字元"/>
    <w:basedOn w:val="a0"/>
    <w:link w:val="af"/>
    <w:uiPriority w:val="99"/>
    <w:rsid w:val="00B54853"/>
    <w:rPr>
      <w:sz w:val="20"/>
      <w:szCs w:val="20"/>
    </w:rPr>
  </w:style>
  <w:style w:type="table" w:styleId="af1">
    <w:name w:val="Table Grid"/>
    <w:basedOn w:val="a1"/>
    <w:uiPriority w:val="39"/>
    <w:rsid w:val="00756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semiHidden/>
    <w:unhideWhenUsed/>
    <w:rsid w:val="00CE3143"/>
    <w:rPr>
      <w:color w:val="0000FF"/>
      <w:u w:val="single"/>
    </w:rPr>
  </w:style>
  <w:style w:type="paragraph" w:styleId="af3">
    <w:name w:val="Subtitle"/>
    <w:basedOn w:val="a"/>
    <w:next w:val="a"/>
    <w:pPr>
      <w:keepNext/>
      <w:keepLines/>
      <w:spacing w:before="360" w:after="80"/>
    </w:pPr>
    <w:rPr>
      <w:rFonts w:ascii="Georgia" w:eastAsia="Georgia" w:hAnsi="Georgia" w:cs="Georgia"/>
      <w:i/>
      <w:color w:val="666666"/>
      <w:sz w:val="48"/>
      <w:szCs w:val="48"/>
    </w:rPr>
  </w:style>
  <w:style w:type="table" w:customStyle="1" w:styleId="af4">
    <w:basedOn w:val="a1"/>
    <w:tblPr>
      <w:tblStyleRowBandSize w:val="1"/>
      <w:tblStyleColBandSize w:val="1"/>
    </w:tblPr>
  </w:style>
  <w:style w:type="table" w:customStyle="1" w:styleId="af5">
    <w:basedOn w:val="a1"/>
    <w:tblPr>
      <w:tblStyleRowBandSize w:val="1"/>
      <w:tblStyleColBandSize w:val="1"/>
    </w:tblPr>
  </w:style>
  <w:style w:type="table" w:customStyle="1" w:styleId="af6">
    <w:basedOn w:val="a1"/>
    <w:tblPr>
      <w:tblStyleRowBandSize w:val="1"/>
      <w:tblStyleColBandSize w:val="1"/>
    </w:tblPr>
  </w:style>
  <w:style w:type="table" w:customStyle="1" w:styleId="af7">
    <w:basedOn w:val="a1"/>
    <w:tblPr>
      <w:tblStyleRowBandSize w:val="1"/>
      <w:tblStyleColBandSize w:val="1"/>
    </w:tblPr>
  </w:style>
  <w:style w:type="table" w:customStyle="1" w:styleId="af8">
    <w:basedOn w:val="a1"/>
    <w:tblPr>
      <w:tblStyleRowBandSize w:val="1"/>
      <w:tblStyleColBandSize w:val="1"/>
    </w:tblPr>
  </w:style>
  <w:style w:type="table" w:customStyle="1" w:styleId="af9">
    <w:basedOn w:val="a1"/>
    <w:tblPr>
      <w:tblStyleRowBandSize w:val="1"/>
      <w:tblStyleColBandSize w:val="1"/>
    </w:tblPr>
  </w:style>
  <w:style w:type="table" w:customStyle="1" w:styleId="afa">
    <w:basedOn w:val="a1"/>
    <w:tblPr>
      <w:tblStyleRowBandSize w:val="1"/>
      <w:tblStyleColBandSize w:val="1"/>
    </w:tblPr>
  </w:style>
  <w:style w:type="table" w:customStyle="1" w:styleId="afb">
    <w:basedOn w:val="a1"/>
    <w:tblPr>
      <w:tblStyleRowBandSize w:val="1"/>
      <w:tblStyleColBandSize w:val="1"/>
    </w:tblPr>
  </w:style>
  <w:style w:type="table" w:customStyle="1" w:styleId="afc">
    <w:basedOn w:val="a1"/>
    <w:tblPr>
      <w:tblStyleRowBandSize w:val="1"/>
      <w:tblStyleColBandSize w:val="1"/>
    </w:tblPr>
  </w:style>
  <w:style w:type="table" w:customStyle="1" w:styleId="afd">
    <w:basedOn w:val="a1"/>
    <w:tblPr>
      <w:tblStyleRowBandSize w:val="1"/>
      <w:tblStyleColBandSize w:val="1"/>
    </w:tblPr>
  </w:style>
  <w:style w:type="table" w:customStyle="1" w:styleId="afe">
    <w:basedOn w:val="a1"/>
    <w:tblPr>
      <w:tblStyleRowBandSize w:val="1"/>
      <w:tblStyleColBandSize w:val="1"/>
    </w:tblPr>
  </w:style>
  <w:style w:type="table" w:customStyle="1" w:styleId="aff">
    <w:basedOn w:val="a1"/>
    <w:tblPr>
      <w:tblStyleRowBandSize w:val="1"/>
      <w:tblStyleColBandSize w:val="1"/>
    </w:tblPr>
  </w:style>
  <w:style w:type="table" w:customStyle="1" w:styleId="aff0">
    <w:basedOn w:val="a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1t0bLjuuqY1PtYbO4DzrwMBU1w==">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7</Pages>
  <Words>909</Words>
  <Characters>5185</Characters>
  <Application>Microsoft Office Word</Application>
  <DocSecurity>0</DocSecurity>
  <Lines>43</Lines>
  <Paragraphs>12</Paragraphs>
  <ScaleCrop>false</ScaleCrop>
  <Company/>
  <LinksUpToDate>false</LinksUpToDate>
  <CharactersWithSpaces>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3</cp:revision>
  <dcterms:created xsi:type="dcterms:W3CDTF">2021-04-17T08:07:00Z</dcterms:created>
  <dcterms:modified xsi:type="dcterms:W3CDTF">2022-05-04T08:42:00Z</dcterms:modified>
</cp:coreProperties>
</file>